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39"/>
        <w:gridCol w:w="5811"/>
      </w:tblGrid>
      <w:tr w:rsidR="00D16A95" w:rsidRPr="00255B34" w14:paraId="54F10308" w14:textId="77777777" w:rsidTr="00805807">
        <w:tc>
          <w:tcPr>
            <w:tcW w:w="3539" w:type="dxa"/>
            <w:tcBorders>
              <w:right w:val="single" w:sz="4" w:space="0" w:color="auto"/>
            </w:tcBorders>
          </w:tcPr>
          <w:p w14:paraId="4D60C6B9" w14:textId="77777777" w:rsidR="00D16A95" w:rsidRPr="00255B34" w:rsidRDefault="00805807" w:rsidP="00805807">
            <w:pPr>
              <w:ind w:left="-108"/>
              <w:rPr>
                <w:sz w:val="28"/>
                <w:szCs w:val="28"/>
              </w:rPr>
            </w:pPr>
            <w:r w:rsidRPr="00255B34">
              <w:rPr>
                <w:b/>
                <w:noProof/>
                <w:lang w:eastAsia="en-CA"/>
              </w:rPr>
              <w:drawing>
                <wp:inline distT="0" distB="0" distL="0" distR="0" wp14:anchorId="3246019D" wp14:editId="13278A92">
                  <wp:extent cx="1771650" cy="704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1650" cy="704850"/>
                          </a:xfrm>
                          <a:prstGeom prst="rect">
                            <a:avLst/>
                          </a:prstGeom>
                          <a:noFill/>
                          <a:ln>
                            <a:noFill/>
                          </a:ln>
                        </pic:spPr>
                      </pic:pic>
                    </a:graphicData>
                  </a:graphic>
                </wp:inline>
              </w:drawing>
            </w:r>
          </w:p>
        </w:tc>
        <w:tc>
          <w:tcPr>
            <w:tcW w:w="5811" w:type="dxa"/>
            <w:tcBorders>
              <w:top w:val="nil"/>
              <w:left w:val="single" w:sz="4" w:space="0" w:color="auto"/>
              <w:bottom w:val="nil"/>
            </w:tcBorders>
            <w:vAlign w:val="center"/>
          </w:tcPr>
          <w:p w14:paraId="14B487B8" w14:textId="77777777" w:rsidR="003728AD" w:rsidRPr="00255B34" w:rsidRDefault="00D16A95" w:rsidP="00805807">
            <w:pPr>
              <w:ind w:left="185"/>
              <w:rPr>
                <w:b/>
                <w:sz w:val="28"/>
                <w:szCs w:val="28"/>
              </w:rPr>
            </w:pPr>
            <w:r w:rsidRPr="00255B34">
              <w:rPr>
                <w:b/>
                <w:sz w:val="28"/>
                <w:szCs w:val="28"/>
              </w:rPr>
              <w:t xml:space="preserve">Deep River and District </w:t>
            </w:r>
            <w:r w:rsidR="0066554A" w:rsidRPr="00255B34">
              <w:rPr>
                <w:b/>
                <w:sz w:val="28"/>
                <w:szCs w:val="28"/>
              </w:rPr>
              <w:t>Health</w:t>
            </w:r>
          </w:p>
          <w:p w14:paraId="6CC74F85" w14:textId="77777777" w:rsidR="0066554A" w:rsidRPr="00255B34" w:rsidRDefault="0066554A" w:rsidP="00805807">
            <w:pPr>
              <w:ind w:left="185"/>
              <w:rPr>
                <w:b/>
                <w:sz w:val="28"/>
                <w:szCs w:val="28"/>
              </w:rPr>
            </w:pPr>
            <w:r w:rsidRPr="00255B34">
              <w:rPr>
                <w:b/>
                <w:sz w:val="28"/>
                <w:szCs w:val="28"/>
              </w:rPr>
              <w:t>Board Highlights</w:t>
            </w:r>
          </w:p>
          <w:p w14:paraId="35428B91" w14:textId="158A4F35" w:rsidR="0066554A" w:rsidRPr="00255B34" w:rsidRDefault="00D20A98" w:rsidP="00805807">
            <w:pPr>
              <w:ind w:left="185"/>
              <w:rPr>
                <w:b/>
                <w:sz w:val="28"/>
                <w:szCs w:val="28"/>
              </w:rPr>
            </w:pPr>
            <w:r>
              <w:rPr>
                <w:b/>
                <w:sz w:val="28"/>
                <w:szCs w:val="28"/>
              </w:rPr>
              <w:t>May</w:t>
            </w:r>
            <w:r w:rsidR="00E20A46" w:rsidRPr="00255B34">
              <w:rPr>
                <w:b/>
                <w:sz w:val="28"/>
                <w:szCs w:val="28"/>
              </w:rPr>
              <w:t xml:space="preserve"> </w:t>
            </w:r>
            <w:r w:rsidR="00145E26">
              <w:rPr>
                <w:b/>
                <w:sz w:val="28"/>
                <w:szCs w:val="28"/>
              </w:rPr>
              <w:t>202</w:t>
            </w:r>
            <w:r w:rsidR="00165E0A">
              <w:rPr>
                <w:b/>
                <w:sz w:val="28"/>
                <w:szCs w:val="28"/>
              </w:rPr>
              <w:t>6</w:t>
            </w:r>
          </w:p>
        </w:tc>
      </w:tr>
    </w:tbl>
    <w:p w14:paraId="3D0E1D14" w14:textId="77777777" w:rsidR="00D16A95" w:rsidRPr="00255B34" w:rsidRDefault="00D16A95">
      <w:pPr>
        <w:pBdr>
          <w:bottom w:val="single" w:sz="12" w:space="1" w:color="auto"/>
        </w:pBdr>
      </w:pPr>
    </w:p>
    <w:p w14:paraId="617E5391" w14:textId="77777777" w:rsidR="00D16A95" w:rsidRPr="00255B34" w:rsidRDefault="00D16A95">
      <w:pPr>
        <w:rPr>
          <w:rFonts w:cs="Arial"/>
          <w:sz w:val="8"/>
        </w:rPr>
      </w:pPr>
    </w:p>
    <w:p w14:paraId="4658D092" w14:textId="77777777" w:rsidR="007404EA" w:rsidRPr="00255B34" w:rsidRDefault="007404EA" w:rsidP="007146D0">
      <w:pPr>
        <w:pStyle w:val="TableParagraph"/>
        <w:rPr>
          <w:rFonts w:eastAsia="Times New Roman"/>
        </w:rPr>
      </w:pPr>
    </w:p>
    <w:p w14:paraId="58464449" w14:textId="77777777" w:rsidR="002F6FF8" w:rsidRPr="00CD08B7" w:rsidRDefault="002A7671" w:rsidP="002F6FF8">
      <w:pPr>
        <w:rPr>
          <w:rFonts w:eastAsia="Times New Roman" w:cs="Arial"/>
          <w:b/>
          <w:u w:val="single"/>
          <w:lang w:val="en-US"/>
        </w:rPr>
      </w:pPr>
      <w:r w:rsidRPr="00CD08B7">
        <w:rPr>
          <w:rFonts w:eastAsia="Times New Roman" w:cs="Arial"/>
          <w:b/>
          <w:u w:val="single"/>
          <w:lang w:val="en-US"/>
        </w:rPr>
        <w:t>Board</w:t>
      </w:r>
    </w:p>
    <w:p w14:paraId="1AB676CB" w14:textId="77777777" w:rsidR="004642FA" w:rsidRPr="00CD08B7" w:rsidRDefault="004642FA" w:rsidP="00D20A98">
      <w:pPr>
        <w:pStyle w:val="ListParagraph"/>
        <w:widowControl w:val="0"/>
        <w:tabs>
          <w:tab w:val="left" w:pos="360"/>
          <w:tab w:val="left" w:pos="851"/>
          <w:tab w:val="right" w:pos="9356"/>
        </w:tabs>
        <w:autoSpaceDE w:val="0"/>
        <w:autoSpaceDN w:val="0"/>
        <w:adjustRightInd w:val="0"/>
        <w:spacing w:line="240" w:lineRule="exact"/>
        <w:ind w:left="0"/>
        <w:rPr>
          <w:rFonts w:ascii="Arial" w:hAnsi="Arial" w:cs="Arial"/>
          <w:sz w:val="22"/>
          <w:szCs w:val="22"/>
        </w:rPr>
      </w:pPr>
    </w:p>
    <w:p w14:paraId="768F09D2" w14:textId="6BA10995" w:rsidR="00D20A98" w:rsidRPr="00D20A98" w:rsidRDefault="00D20A98">
      <w:pPr>
        <w:pStyle w:val="ListParagraph"/>
        <w:widowControl w:val="0"/>
        <w:numPr>
          <w:ilvl w:val="0"/>
          <w:numId w:val="7"/>
        </w:numPr>
        <w:tabs>
          <w:tab w:val="left" w:pos="1353"/>
        </w:tabs>
        <w:autoSpaceDE w:val="0"/>
        <w:autoSpaceDN w:val="0"/>
        <w:adjustRightInd w:val="0"/>
        <w:spacing w:before="205" w:line="240" w:lineRule="exact"/>
        <w:ind w:left="720" w:right="-115"/>
        <w:rPr>
          <w:rFonts w:ascii="Arial" w:hAnsi="Arial" w:cs="Arial"/>
          <w:sz w:val="22"/>
          <w:szCs w:val="22"/>
        </w:rPr>
      </w:pPr>
      <w:r w:rsidRPr="00CD08B7">
        <w:rPr>
          <w:rFonts w:ascii="Arial" w:hAnsi="Arial" w:cs="Arial"/>
          <w:sz w:val="22"/>
          <w:szCs w:val="22"/>
        </w:rPr>
        <w:t>The Board</w:t>
      </w:r>
      <w:r w:rsidRPr="00D20A98">
        <w:rPr>
          <w:rFonts w:ascii="Arial" w:hAnsi="Arial" w:cs="Arial"/>
          <w:sz w:val="22"/>
          <w:szCs w:val="22"/>
        </w:rPr>
        <w:t xml:space="preserve"> received an education session from Ali Ladak of the Champlain Centre for Health Care Ethics. The presentation highlighted the Centre’s work supporting healthcare organizations across the region through ethics consultation, education, and capacity building. Topics discussed included substitute decision-making, consent and capacity, difficult discharge situations, and ethical decision-making frameworks. The Board also reviewed a recent ethical case example from DRDH, reinforcing the importance of ethical considerations in governance and healthcare delivery.</w:t>
      </w:r>
    </w:p>
    <w:p w14:paraId="7B18CA2E" w14:textId="516DC459" w:rsidR="00D20A98" w:rsidRPr="00D20A98" w:rsidRDefault="00D20A98">
      <w:pPr>
        <w:pStyle w:val="ListParagraph"/>
        <w:widowControl w:val="0"/>
        <w:numPr>
          <w:ilvl w:val="0"/>
          <w:numId w:val="7"/>
        </w:numPr>
        <w:tabs>
          <w:tab w:val="left" w:pos="1353"/>
        </w:tabs>
        <w:autoSpaceDE w:val="0"/>
        <w:autoSpaceDN w:val="0"/>
        <w:adjustRightInd w:val="0"/>
        <w:spacing w:before="205" w:line="240" w:lineRule="exact"/>
        <w:ind w:left="720" w:right="-115"/>
        <w:rPr>
          <w:rFonts w:ascii="Arial" w:hAnsi="Arial" w:cs="Arial"/>
          <w:sz w:val="22"/>
          <w:szCs w:val="22"/>
        </w:rPr>
      </w:pPr>
      <w:r w:rsidRPr="00D20A98">
        <w:rPr>
          <w:rFonts w:ascii="Arial" w:hAnsi="Arial" w:cs="Arial"/>
          <w:sz w:val="22"/>
          <w:szCs w:val="22"/>
        </w:rPr>
        <w:t>The Board approved the 2026–2027 Family Health Team Annual Operating Plan and associated Ministry of Health reporting requirements. The plan outlines service priorities, programming initiatives, and operational goals for the coming year, while supporting continued growth and planning for services within the new Family Health Team facility.</w:t>
      </w:r>
    </w:p>
    <w:p w14:paraId="10BA5B3C" w14:textId="53D8E67E" w:rsidR="00D20A98" w:rsidRPr="00D20A98" w:rsidRDefault="00D20A98">
      <w:pPr>
        <w:pStyle w:val="ListParagraph"/>
        <w:widowControl w:val="0"/>
        <w:numPr>
          <w:ilvl w:val="0"/>
          <w:numId w:val="7"/>
        </w:numPr>
        <w:tabs>
          <w:tab w:val="left" w:pos="1353"/>
        </w:tabs>
        <w:autoSpaceDE w:val="0"/>
        <w:autoSpaceDN w:val="0"/>
        <w:adjustRightInd w:val="0"/>
        <w:spacing w:before="205" w:line="240" w:lineRule="exact"/>
        <w:ind w:left="720" w:right="-115"/>
        <w:rPr>
          <w:rFonts w:ascii="Arial" w:hAnsi="Arial" w:cs="Arial"/>
          <w:sz w:val="22"/>
          <w:szCs w:val="22"/>
        </w:rPr>
      </w:pPr>
      <w:r w:rsidRPr="00D20A98">
        <w:rPr>
          <w:rFonts w:ascii="Arial" w:hAnsi="Arial" w:cs="Arial"/>
          <w:sz w:val="22"/>
          <w:szCs w:val="22"/>
        </w:rPr>
        <w:t>The Board received updates from the Patient and Family Advisory Council (PFAC), including discussion regarding the Council’s ongoing governance integration work. The Council endorsed a proposal to establish a PFAC Patient/Resident Representative as Co-Chair of the Council with a direct reporting relationship to the Board of Directors, further strengthening the voice of patients, residents, and families within governance and decision-making processes.</w:t>
      </w:r>
    </w:p>
    <w:p w14:paraId="2EF0AEF1" w14:textId="77777777" w:rsidR="00D20A98" w:rsidRDefault="00D20A98">
      <w:pPr>
        <w:pStyle w:val="ListParagraph"/>
        <w:widowControl w:val="0"/>
        <w:numPr>
          <w:ilvl w:val="0"/>
          <w:numId w:val="7"/>
        </w:numPr>
        <w:tabs>
          <w:tab w:val="left" w:pos="1353"/>
        </w:tabs>
        <w:autoSpaceDE w:val="0"/>
        <w:autoSpaceDN w:val="0"/>
        <w:adjustRightInd w:val="0"/>
        <w:spacing w:before="205" w:line="240" w:lineRule="exact"/>
        <w:ind w:left="720" w:right="-115"/>
        <w:rPr>
          <w:rFonts w:ascii="Arial" w:hAnsi="Arial" w:cs="Arial"/>
          <w:sz w:val="22"/>
          <w:szCs w:val="22"/>
        </w:rPr>
      </w:pPr>
      <w:r w:rsidRPr="00D20A98">
        <w:rPr>
          <w:rFonts w:ascii="Arial" w:hAnsi="Arial" w:cs="Arial"/>
          <w:sz w:val="22"/>
          <w:szCs w:val="22"/>
        </w:rPr>
        <w:t>Following recommendation from the Quality, Risk and Safety Committee, the Board approved the organization’s top three corporate risks for the 2026–2027 fiscal year through the Healthcare Insurance Reciprocal of Canada (HIROC) risk assessment process. The identified risks include wrongful dismissal, inappropriate credentialing and professional staff management, and death by suicide and/or attempts while in care. These priorities will guide organizational risk mitigation and monitoring activities throughout the year.</w:t>
      </w:r>
    </w:p>
    <w:p w14:paraId="75549603" w14:textId="77777777" w:rsidR="00D20A98" w:rsidRPr="00D20A98" w:rsidRDefault="00D20A98">
      <w:pPr>
        <w:pStyle w:val="ListParagraph"/>
        <w:widowControl w:val="0"/>
        <w:numPr>
          <w:ilvl w:val="0"/>
          <w:numId w:val="7"/>
        </w:numPr>
        <w:tabs>
          <w:tab w:val="left" w:pos="1353"/>
        </w:tabs>
        <w:autoSpaceDE w:val="0"/>
        <w:autoSpaceDN w:val="0"/>
        <w:adjustRightInd w:val="0"/>
        <w:spacing w:before="205" w:line="240" w:lineRule="exact"/>
        <w:ind w:left="720" w:right="-115"/>
        <w:rPr>
          <w:rFonts w:ascii="Arial" w:hAnsi="Arial" w:cs="Arial"/>
          <w:sz w:val="22"/>
          <w:szCs w:val="22"/>
        </w:rPr>
      </w:pPr>
      <w:r w:rsidRPr="00D20A98">
        <w:rPr>
          <w:rFonts w:ascii="Arial" w:hAnsi="Arial" w:cs="Arial"/>
          <w:sz w:val="22"/>
          <w:szCs w:val="22"/>
        </w:rPr>
        <w:t>The Board received updates on organizational quality and patient safety activities, including review of quarterly quality indicators, risk assessments, incident reporting, patient experience survey results, and progress toward Accreditation 2027. Survey dates have now been confirmed for February 21–25, 2027, with planning and readiness activities underway across the organization.</w:t>
      </w:r>
    </w:p>
    <w:p w14:paraId="19B49489" w14:textId="21D14BC5" w:rsidR="00B12A4D" w:rsidRDefault="008A1433">
      <w:pPr>
        <w:pStyle w:val="ListParagraph"/>
        <w:widowControl w:val="0"/>
        <w:numPr>
          <w:ilvl w:val="0"/>
          <w:numId w:val="7"/>
        </w:numPr>
        <w:tabs>
          <w:tab w:val="left" w:pos="1353"/>
        </w:tabs>
        <w:autoSpaceDE w:val="0"/>
        <w:autoSpaceDN w:val="0"/>
        <w:adjustRightInd w:val="0"/>
        <w:spacing w:before="205" w:line="240" w:lineRule="exact"/>
        <w:ind w:left="720" w:right="-115"/>
        <w:rPr>
          <w:rFonts w:ascii="Arial" w:hAnsi="Arial" w:cs="Arial"/>
          <w:sz w:val="22"/>
          <w:szCs w:val="22"/>
        </w:rPr>
      </w:pPr>
      <w:r w:rsidRPr="00D20A98">
        <w:rPr>
          <w:rFonts w:ascii="Arial" w:hAnsi="Arial" w:cs="Arial"/>
          <w:sz w:val="22"/>
          <w:szCs w:val="22"/>
        </w:rPr>
        <w:t xml:space="preserve">The Board received a report from the </w:t>
      </w:r>
      <w:r w:rsidR="00B12A4D" w:rsidRPr="00D20A98">
        <w:rPr>
          <w:rFonts w:ascii="Arial" w:hAnsi="Arial" w:cs="Arial"/>
          <w:sz w:val="22"/>
          <w:szCs w:val="22"/>
        </w:rPr>
        <w:t xml:space="preserve">Nominating Committee, </w:t>
      </w:r>
      <w:r w:rsidR="00D20A98" w:rsidRPr="00D20A98">
        <w:rPr>
          <w:rFonts w:ascii="Arial" w:hAnsi="Arial" w:cs="Arial"/>
          <w:sz w:val="22"/>
          <w:szCs w:val="22"/>
        </w:rPr>
        <w:t xml:space="preserve">bringing forth nominations for the Board of Directors and Patient and Family Representatives. New Directors and Patient </w:t>
      </w:r>
      <w:r w:rsidR="00D20A98" w:rsidRPr="00BA5E47">
        <w:rPr>
          <w:rFonts w:ascii="Arial" w:hAnsi="Arial" w:cs="Arial"/>
          <w:sz w:val="22"/>
          <w:szCs w:val="22"/>
        </w:rPr>
        <w:t>Representatives will be appointed at the organization’s Annual General Meeting on June 23rd</w:t>
      </w:r>
      <w:r w:rsidR="00B12A4D" w:rsidRPr="00BA5E47">
        <w:rPr>
          <w:rFonts w:ascii="Arial" w:hAnsi="Arial" w:cs="Arial"/>
          <w:sz w:val="22"/>
          <w:szCs w:val="22"/>
        </w:rPr>
        <w:t xml:space="preserve">. </w:t>
      </w:r>
    </w:p>
    <w:p w14:paraId="1463E46C" w14:textId="31A79E31" w:rsidR="008234A9" w:rsidRPr="00BA5E47" w:rsidRDefault="008234A9">
      <w:pPr>
        <w:pStyle w:val="ListParagraph"/>
        <w:widowControl w:val="0"/>
        <w:numPr>
          <w:ilvl w:val="0"/>
          <w:numId w:val="7"/>
        </w:numPr>
        <w:tabs>
          <w:tab w:val="left" w:pos="1353"/>
        </w:tabs>
        <w:autoSpaceDE w:val="0"/>
        <w:autoSpaceDN w:val="0"/>
        <w:adjustRightInd w:val="0"/>
        <w:spacing w:before="205" w:line="240" w:lineRule="exact"/>
        <w:ind w:left="720" w:right="-115"/>
        <w:rPr>
          <w:rFonts w:ascii="Arial" w:hAnsi="Arial" w:cs="Arial"/>
          <w:sz w:val="22"/>
          <w:szCs w:val="22"/>
        </w:rPr>
      </w:pPr>
      <w:r w:rsidRPr="008234A9">
        <w:rPr>
          <w:rFonts w:ascii="Arial" w:hAnsi="Arial" w:cs="Arial"/>
          <w:sz w:val="22"/>
          <w:szCs w:val="22"/>
        </w:rPr>
        <w:t>The Board received updates regarding new Ontario Health operational direction for Spring and Summer 2026. Provincial priorities continue to focus on reducing Alternate Level of Care (ALC) pressures, improving patient flow, maintaining emergency department access, strengthening workforce stability, supporting surgical and diagnostic services, and expanding access to primary care. DRDH will continue to align local planning and operational priorities with these provincial expectations.</w:t>
      </w:r>
    </w:p>
    <w:p w14:paraId="701AAF34" w14:textId="77777777" w:rsidR="00084067" w:rsidRPr="00BA5E47" w:rsidRDefault="00084067" w:rsidP="00084067">
      <w:pPr>
        <w:pStyle w:val="ListParagraph"/>
        <w:widowControl w:val="0"/>
        <w:tabs>
          <w:tab w:val="left" w:pos="360"/>
          <w:tab w:val="left" w:pos="851"/>
          <w:tab w:val="left" w:pos="1353"/>
          <w:tab w:val="right" w:pos="9356"/>
        </w:tabs>
        <w:autoSpaceDE w:val="0"/>
        <w:autoSpaceDN w:val="0"/>
        <w:adjustRightInd w:val="0"/>
        <w:spacing w:before="205" w:line="240" w:lineRule="exact"/>
        <w:ind w:left="709" w:right="-115"/>
        <w:rPr>
          <w:rFonts w:cs="Arial"/>
          <w:b/>
        </w:rPr>
      </w:pPr>
    </w:p>
    <w:p w14:paraId="28B7B5B9" w14:textId="5B380F99" w:rsidR="00237298" w:rsidRPr="00BA5E47" w:rsidRDefault="00237298" w:rsidP="00237298">
      <w:pPr>
        <w:widowControl w:val="0"/>
        <w:tabs>
          <w:tab w:val="left" w:pos="360"/>
          <w:tab w:val="left" w:pos="851"/>
          <w:tab w:val="right" w:pos="9356"/>
        </w:tabs>
        <w:autoSpaceDE w:val="0"/>
        <w:autoSpaceDN w:val="0"/>
        <w:adjustRightInd w:val="0"/>
        <w:spacing w:line="240" w:lineRule="exact"/>
        <w:ind w:right="-115"/>
        <w:rPr>
          <w:rFonts w:cs="Arial"/>
          <w:b/>
        </w:rPr>
      </w:pPr>
      <w:r w:rsidRPr="00BA5E47">
        <w:rPr>
          <w:rFonts w:cs="Arial"/>
          <w:b/>
        </w:rPr>
        <w:t>Capital Development:</w:t>
      </w:r>
    </w:p>
    <w:p w14:paraId="37577A92" w14:textId="0DFDBBDE" w:rsidR="00637628" w:rsidRPr="00BA5E47" w:rsidRDefault="00637628">
      <w:pPr>
        <w:pStyle w:val="ListParagraph"/>
        <w:widowControl w:val="0"/>
        <w:numPr>
          <w:ilvl w:val="0"/>
          <w:numId w:val="2"/>
        </w:numPr>
        <w:tabs>
          <w:tab w:val="left" w:pos="360"/>
          <w:tab w:val="left" w:pos="851"/>
          <w:tab w:val="right" w:pos="9356"/>
        </w:tabs>
        <w:autoSpaceDE w:val="0"/>
        <w:autoSpaceDN w:val="0"/>
        <w:adjustRightInd w:val="0"/>
        <w:spacing w:line="240" w:lineRule="exact"/>
        <w:ind w:right="-115"/>
        <w:rPr>
          <w:rFonts w:ascii="Arial" w:hAnsi="Arial" w:cs="Arial"/>
          <w:sz w:val="22"/>
          <w:szCs w:val="22"/>
        </w:rPr>
      </w:pPr>
      <w:r w:rsidRPr="00BA5E47">
        <w:rPr>
          <w:rFonts w:ascii="Arial" w:hAnsi="Arial" w:cs="Arial"/>
          <w:sz w:val="22"/>
          <w:szCs w:val="22"/>
        </w:rPr>
        <w:t>The Board received updates on the Long-Term Care capital development project:</w:t>
      </w:r>
    </w:p>
    <w:p w14:paraId="491ABCA3" w14:textId="1A3C3037" w:rsidR="00BA5E47" w:rsidRPr="00BA5E47" w:rsidRDefault="00BA5E47">
      <w:pPr>
        <w:pStyle w:val="ListParagraph"/>
        <w:widowControl w:val="0"/>
        <w:numPr>
          <w:ilvl w:val="1"/>
          <w:numId w:val="2"/>
        </w:numPr>
        <w:tabs>
          <w:tab w:val="left" w:pos="360"/>
          <w:tab w:val="left" w:pos="851"/>
          <w:tab w:val="right" w:pos="9356"/>
        </w:tabs>
        <w:autoSpaceDE w:val="0"/>
        <w:autoSpaceDN w:val="0"/>
        <w:adjustRightInd w:val="0"/>
        <w:spacing w:line="240" w:lineRule="exact"/>
        <w:ind w:right="-115"/>
        <w:rPr>
          <w:rFonts w:ascii="Arial" w:hAnsi="Arial" w:cs="Arial"/>
          <w:sz w:val="22"/>
          <w:szCs w:val="22"/>
        </w:rPr>
      </w:pPr>
      <w:r w:rsidRPr="00BA5E47">
        <w:rPr>
          <w:rFonts w:ascii="Arial" w:hAnsi="Arial" w:cs="Arial"/>
          <w:sz w:val="22"/>
          <w:szCs w:val="22"/>
        </w:rPr>
        <w:t>Construction continues on the new Four Seasons Lodge. Due to site conditions and design coordination challenges, the contractor has provided notice of schedule delay, resulting in a revised anticipated substantial completion date of April 2027.</w:t>
      </w:r>
    </w:p>
    <w:p w14:paraId="21C38AAA" w14:textId="661A9835" w:rsidR="00BA5E47" w:rsidRPr="00BA5E47" w:rsidRDefault="00BA5E47">
      <w:pPr>
        <w:pStyle w:val="ListParagraph"/>
        <w:widowControl w:val="0"/>
        <w:numPr>
          <w:ilvl w:val="1"/>
          <w:numId w:val="2"/>
        </w:numPr>
        <w:tabs>
          <w:tab w:val="left" w:pos="360"/>
          <w:tab w:val="left" w:pos="851"/>
          <w:tab w:val="right" w:pos="9356"/>
        </w:tabs>
        <w:autoSpaceDE w:val="0"/>
        <w:autoSpaceDN w:val="0"/>
        <w:adjustRightInd w:val="0"/>
        <w:spacing w:line="240" w:lineRule="exact"/>
        <w:ind w:right="-115"/>
        <w:rPr>
          <w:rFonts w:ascii="Arial" w:hAnsi="Arial" w:cs="Arial"/>
          <w:sz w:val="22"/>
          <w:szCs w:val="22"/>
        </w:rPr>
      </w:pPr>
      <w:r w:rsidRPr="00BA5E47">
        <w:rPr>
          <w:rFonts w:ascii="Arial" w:hAnsi="Arial" w:cs="Arial"/>
          <w:sz w:val="22"/>
          <w:szCs w:val="22"/>
        </w:rPr>
        <w:t>Planning for operational readiness and occupancy continues, including development of the first Ministry-required Occupancy Plan submission, staffing plans, resident move-in planning, and operational readiness activities.</w:t>
      </w:r>
    </w:p>
    <w:p w14:paraId="2DDC4533" w14:textId="41B90943" w:rsidR="00BA5E47" w:rsidRPr="00BA5E47" w:rsidRDefault="00BA5E47">
      <w:pPr>
        <w:pStyle w:val="ListParagraph"/>
        <w:widowControl w:val="0"/>
        <w:numPr>
          <w:ilvl w:val="1"/>
          <w:numId w:val="2"/>
        </w:numPr>
        <w:tabs>
          <w:tab w:val="left" w:pos="360"/>
          <w:tab w:val="left" w:pos="851"/>
          <w:tab w:val="right" w:pos="9356"/>
        </w:tabs>
        <w:autoSpaceDE w:val="0"/>
        <w:autoSpaceDN w:val="0"/>
        <w:adjustRightInd w:val="0"/>
        <w:spacing w:line="240" w:lineRule="exact"/>
        <w:ind w:right="-115"/>
        <w:rPr>
          <w:rFonts w:ascii="Arial" w:hAnsi="Arial" w:cs="Arial"/>
          <w:sz w:val="22"/>
          <w:szCs w:val="22"/>
        </w:rPr>
      </w:pPr>
      <w:r w:rsidRPr="00BA5E47">
        <w:rPr>
          <w:rFonts w:ascii="Arial" w:hAnsi="Arial" w:cs="Arial"/>
          <w:sz w:val="22"/>
          <w:szCs w:val="22"/>
        </w:rPr>
        <w:t>The Board also received updates regarding utility servicing requirements and ongoing coordination with Enbridge related to future natural gas infrastructure for the site.</w:t>
      </w:r>
    </w:p>
    <w:p w14:paraId="33A4BAF1" w14:textId="77777777" w:rsidR="008A1433" w:rsidRPr="00BA5E47" w:rsidRDefault="008A1433" w:rsidP="00E327AF">
      <w:pPr>
        <w:rPr>
          <w:rFonts w:cs="Arial"/>
          <w:b/>
          <w:u w:val="single"/>
        </w:rPr>
      </w:pPr>
    </w:p>
    <w:p w14:paraId="43930F2E" w14:textId="1267D00A" w:rsidR="00932088" w:rsidRPr="00BA5E47" w:rsidRDefault="00932088" w:rsidP="00E327AF">
      <w:pPr>
        <w:rPr>
          <w:rFonts w:cs="Arial"/>
          <w:b/>
          <w:u w:val="single"/>
        </w:rPr>
      </w:pPr>
      <w:r w:rsidRPr="00BA5E47">
        <w:rPr>
          <w:rFonts w:cs="Arial"/>
          <w:b/>
          <w:u w:val="single"/>
        </w:rPr>
        <w:t>DRDH Foundation Updates</w:t>
      </w:r>
    </w:p>
    <w:p w14:paraId="38BA72FC" w14:textId="5882562E" w:rsidR="00BA5E47" w:rsidRPr="00CD08B7" w:rsidRDefault="00BA5E47">
      <w:pPr>
        <w:pStyle w:val="ListParagraph"/>
        <w:numPr>
          <w:ilvl w:val="0"/>
          <w:numId w:val="2"/>
        </w:numPr>
        <w:rPr>
          <w:rFonts w:ascii="Arial" w:hAnsi="Arial" w:cs="Arial"/>
          <w:sz w:val="22"/>
          <w:szCs w:val="22"/>
        </w:rPr>
      </w:pPr>
      <w:r w:rsidRPr="00BA5E47">
        <w:rPr>
          <w:rFonts w:ascii="Arial" w:hAnsi="Arial" w:cs="Arial"/>
          <w:sz w:val="22"/>
          <w:szCs w:val="22"/>
        </w:rPr>
        <w:t xml:space="preserve">The Foundation reported continued progress on its “Get on Board – Connecting Community” campaign, with sufficient funds raised to proceed with procurement planning for an accessible community transportation vehicle. Development of purchasing specifications and procurement processes </w:t>
      </w:r>
      <w:r w:rsidR="00074A9F" w:rsidRPr="00BA5E47">
        <w:rPr>
          <w:rFonts w:ascii="Arial" w:hAnsi="Arial" w:cs="Arial"/>
          <w:sz w:val="22"/>
          <w:szCs w:val="22"/>
        </w:rPr>
        <w:t>is</w:t>
      </w:r>
      <w:r w:rsidRPr="00BA5E47">
        <w:rPr>
          <w:rFonts w:ascii="Arial" w:hAnsi="Arial" w:cs="Arial"/>
          <w:sz w:val="22"/>
          <w:szCs w:val="22"/>
        </w:rPr>
        <w:t xml:space="preserve"> underway.</w:t>
      </w:r>
    </w:p>
    <w:p w14:paraId="48270C92" w14:textId="56DA2EC8" w:rsidR="00932088" w:rsidRPr="00BA5E47" w:rsidRDefault="00BA5E47">
      <w:pPr>
        <w:pStyle w:val="ListParagraph"/>
        <w:numPr>
          <w:ilvl w:val="0"/>
          <w:numId w:val="2"/>
        </w:numPr>
        <w:rPr>
          <w:rFonts w:ascii="Arial" w:hAnsi="Arial" w:cs="Arial"/>
          <w:b/>
          <w:sz w:val="22"/>
          <w:szCs w:val="22"/>
          <w:u w:val="single"/>
        </w:rPr>
      </w:pPr>
      <w:r w:rsidRPr="00BA5E47">
        <w:rPr>
          <w:rFonts w:ascii="Arial" w:hAnsi="Arial" w:cs="Arial"/>
          <w:sz w:val="22"/>
          <w:szCs w:val="22"/>
        </w:rPr>
        <w:t xml:space="preserve">The Foundation is preparing for its annual </w:t>
      </w:r>
      <w:r w:rsidRPr="00074A9F">
        <w:rPr>
          <w:rFonts w:ascii="Arial" w:hAnsi="Arial" w:cs="Arial"/>
          <w:i/>
          <w:iCs/>
          <w:sz w:val="22"/>
          <w:szCs w:val="22"/>
        </w:rPr>
        <w:t>Run for Home</w:t>
      </w:r>
      <w:r w:rsidRPr="00BA5E47">
        <w:rPr>
          <w:rFonts w:ascii="Arial" w:hAnsi="Arial" w:cs="Arial"/>
          <w:sz w:val="22"/>
          <w:szCs w:val="22"/>
        </w:rPr>
        <w:t xml:space="preserve"> fundraising event scheduled for June 27, 2026 and continues work on the development of a new strategic plan to support long-term sustainability and future growth.</w:t>
      </w:r>
    </w:p>
    <w:p w14:paraId="5DAA5D4F" w14:textId="77777777" w:rsidR="00BA5E47" w:rsidRPr="00BA5E47" w:rsidRDefault="00BA5E47" w:rsidP="00BA5E47">
      <w:pPr>
        <w:pStyle w:val="ListParagraph"/>
        <w:rPr>
          <w:rFonts w:ascii="Arial" w:hAnsi="Arial" w:cs="Arial"/>
          <w:b/>
          <w:sz w:val="22"/>
          <w:szCs w:val="22"/>
          <w:u w:val="single"/>
        </w:rPr>
      </w:pPr>
    </w:p>
    <w:p w14:paraId="6D2C75A6" w14:textId="004EB34D" w:rsidR="00BA5E47" w:rsidRPr="00BA5E47" w:rsidRDefault="00BA5E47" w:rsidP="00BA5E47">
      <w:pPr>
        <w:rPr>
          <w:rFonts w:cs="Arial"/>
          <w:b/>
          <w:u w:val="single"/>
        </w:rPr>
      </w:pPr>
      <w:r w:rsidRPr="00BA5E47">
        <w:rPr>
          <w:rFonts w:cs="Arial"/>
          <w:b/>
          <w:u w:val="single"/>
        </w:rPr>
        <w:t>Auxiliary Updates</w:t>
      </w:r>
    </w:p>
    <w:p w14:paraId="44BEB2EA" w14:textId="0D10C9F0" w:rsidR="00BA5E47" w:rsidRPr="00BA5E47" w:rsidRDefault="00BA5E47">
      <w:pPr>
        <w:pStyle w:val="ListParagraph"/>
        <w:numPr>
          <w:ilvl w:val="0"/>
          <w:numId w:val="10"/>
        </w:numPr>
        <w:rPr>
          <w:rFonts w:ascii="Arial" w:hAnsi="Arial" w:cs="Arial"/>
          <w:bCs/>
          <w:sz w:val="22"/>
          <w:szCs w:val="22"/>
        </w:rPr>
      </w:pPr>
      <w:r w:rsidRPr="00BA5E47">
        <w:rPr>
          <w:rFonts w:ascii="Arial" w:hAnsi="Arial" w:cs="Arial"/>
          <w:bCs/>
          <w:sz w:val="22"/>
          <w:szCs w:val="22"/>
        </w:rPr>
        <w:t>The Board recognized and thanked the DRDH Auxiliary following another highly successful year of fundraising and volunteer service. At its Annual General Meeting, the Auxiliary announced total donations of $157,000 to support patient care</w:t>
      </w:r>
      <w:r>
        <w:rPr>
          <w:rFonts w:ascii="Arial" w:hAnsi="Arial" w:cs="Arial"/>
          <w:bCs/>
          <w:sz w:val="22"/>
          <w:szCs w:val="22"/>
        </w:rPr>
        <w:t>, programming</w:t>
      </w:r>
      <w:r w:rsidRPr="00BA5E47">
        <w:rPr>
          <w:rFonts w:ascii="Arial" w:hAnsi="Arial" w:cs="Arial"/>
          <w:bCs/>
          <w:sz w:val="22"/>
          <w:szCs w:val="22"/>
        </w:rPr>
        <w:t xml:space="preserve"> and infrastructure improvements across the Health Campus.</w:t>
      </w:r>
      <w:r>
        <w:rPr>
          <w:rFonts w:ascii="Arial" w:hAnsi="Arial" w:cs="Arial"/>
          <w:bCs/>
          <w:sz w:val="22"/>
          <w:szCs w:val="22"/>
        </w:rPr>
        <w:t xml:space="preserve"> </w:t>
      </w:r>
      <w:r w:rsidRPr="00BA5E47">
        <w:rPr>
          <w:rFonts w:ascii="Arial" w:hAnsi="Arial" w:cs="Arial"/>
          <w:bCs/>
          <w:sz w:val="22"/>
          <w:szCs w:val="22"/>
        </w:rPr>
        <w:t>Funding commitments include support for a new secure Emergency Department medication room, replacement patient lifts for both the Hospital and Four Seasons Lodge, continued support for Speech Therapy services, and an initial contribution toward replacement of the organization’s aging mammography equipment.</w:t>
      </w:r>
    </w:p>
    <w:p w14:paraId="5888C7DA" w14:textId="74B817E9" w:rsidR="008A1433" w:rsidRPr="00BA5E47" w:rsidRDefault="00BA5E47">
      <w:pPr>
        <w:pStyle w:val="ListParagraph"/>
        <w:numPr>
          <w:ilvl w:val="0"/>
          <w:numId w:val="10"/>
        </w:numPr>
        <w:rPr>
          <w:rFonts w:ascii="Arial" w:hAnsi="Arial" w:cs="Arial"/>
          <w:bCs/>
          <w:sz w:val="22"/>
          <w:szCs w:val="22"/>
        </w:rPr>
      </w:pPr>
      <w:r w:rsidRPr="00BA5E47">
        <w:rPr>
          <w:rFonts w:ascii="Arial" w:hAnsi="Arial" w:cs="Arial"/>
          <w:bCs/>
          <w:sz w:val="22"/>
          <w:szCs w:val="22"/>
        </w:rPr>
        <w:t>The Board also received updates regarding future planning for the Whistle Stop, including exploration of options for a future downtown location that will support continued growth and sustainability of Auxiliary operations.</w:t>
      </w:r>
    </w:p>
    <w:p w14:paraId="7053684D" w14:textId="77777777" w:rsidR="00BA5E47" w:rsidRPr="00BA5E47" w:rsidRDefault="00BA5E47" w:rsidP="00E327AF">
      <w:pPr>
        <w:rPr>
          <w:rFonts w:cs="Arial"/>
          <w:b/>
          <w:u w:val="single"/>
        </w:rPr>
      </w:pPr>
    </w:p>
    <w:p w14:paraId="7511B644" w14:textId="77777777" w:rsidR="00BA5E47" w:rsidRPr="00BA5E47" w:rsidRDefault="00BA5E47" w:rsidP="00E327AF">
      <w:pPr>
        <w:rPr>
          <w:rFonts w:cs="Arial"/>
          <w:b/>
          <w:u w:val="single"/>
        </w:rPr>
      </w:pPr>
    </w:p>
    <w:p w14:paraId="65B5DC88" w14:textId="7691F59F" w:rsidR="00E327AF" w:rsidRPr="00BA5E47" w:rsidRDefault="00E327AF" w:rsidP="00E327AF">
      <w:pPr>
        <w:rPr>
          <w:rFonts w:cs="Arial"/>
          <w:b/>
          <w:u w:val="single"/>
        </w:rPr>
      </w:pPr>
      <w:r w:rsidRPr="00BA5E47">
        <w:rPr>
          <w:rFonts w:cs="Arial"/>
          <w:b/>
          <w:u w:val="single"/>
        </w:rPr>
        <w:t>Health Campus Updates</w:t>
      </w:r>
    </w:p>
    <w:p w14:paraId="7F0F8D62" w14:textId="77777777" w:rsidR="00023DDE" w:rsidRPr="00D20A98" w:rsidRDefault="00023DDE" w:rsidP="00A73C54">
      <w:pPr>
        <w:rPr>
          <w:rFonts w:cs="Arial"/>
          <w:highlight w:val="yellow"/>
        </w:rPr>
      </w:pPr>
    </w:p>
    <w:p w14:paraId="7D546583" w14:textId="77777777" w:rsidR="00CD08B7" w:rsidRDefault="00CD08B7" w:rsidP="00E327AF">
      <w:pPr>
        <w:rPr>
          <w:rFonts w:eastAsia="Times New Roman" w:cs="Arial"/>
          <w:lang w:val="en-US"/>
        </w:rPr>
      </w:pPr>
      <w:r>
        <w:rPr>
          <w:rFonts w:eastAsia="Times New Roman" w:cs="Arial"/>
          <w:lang w:val="en-US"/>
        </w:rPr>
        <w:t>Community Engagement</w:t>
      </w:r>
    </w:p>
    <w:p w14:paraId="5DFC9049" w14:textId="674CB43B" w:rsidR="00CD08B7" w:rsidRPr="00CD08B7" w:rsidRDefault="00CD08B7">
      <w:pPr>
        <w:pStyle w:val="ListParagraph"/>
        <w:numPr>
          <w:ilvl w:val="0"/>
          <w:numId w:val="13"/>
        </w:numPr>
        <w:rPr>
          <w:rFonts w:ascii="Arial" w:hAnsi="Arial" w:cs="Arial"/>
          <w:sz w:val="22"/>
          <w:szCs w:val="22"/>
        </w:rPr>
      </w:pPr>
      <w:r>
        <w:rPr>
          <w:rFonts w:ascii="Arial" w:hAnsi="Arial" w:cs="Arial"/>
          <w:sz w:val="22"/>
          <w:szCs w:val="22"/>
        </w:rPr>
        <w:t xml:space="preserve">Updates were shared regarding planned activities for </w:t>
      </w:r>
      <w:r w:rsidRPr="00CD08B7">
        <w:rPr>
          <w:rFonts w:ascii="Arial" w:hAnsi="Arial" w:cs="Arial"/>
          <w:sz w:val="22"/>
          <w:szCs w:val="22"/>
        </w:rPr>
        <w:t xml:space="preserve">Pride Month and </w:t>
      </w:r>
      <w:r>
        <w:rPr>
          <w:rFonts w:ascii="Arial" w:hAnsi="Arial" w:cs="Arial"/>
          <w:sz w:val="22"/>
          <w:szCs w:val="22"/>
        </w:rPr>
        <w:t xml:space="preserve">the </w:t>
      </w:r>
      <w:r w:rsidRPr="00CD08B7">
        <w:rPr>
          <w:rFonts w:ascii="Arial" w:hAnsi="Arial" w:cs="Arial"/>
          <w:sz w:val="22"/>
          <w:szCs w:val="22"/>
        </w:rPr>
        <w:t>Positive Spaces initiatives. These activities build upon previous organizational education and support DRDH’s ongoing commitment to fostering an inclusive, welcoming, and safe environment for patients, residents, families, staff, physicians, volunteers, and visitors.</w:t>
      </w:r>
    </w:p>
    <w:p w14:paraId="2F128DAB" w14:textId="77777777" w:rsidR="00CD08B7" w:rsidRDefault="00CD08B7" w:rsidP="00E327AF">
      <w:pPr>
        <w:rPr>
          <w:rFonts w:eastAsia="Times New Roman" w:cs="Arial"/>
          <w:lang w:val="en-US"/>
        </w:rPr>
      </w:pPr>
    </w:p>
    <w:p w14:paraId="5EBEEB95" w14:textId="3D382C91" w:rsidR="008234A9" w:rsidRPr="008234A9" w:rsidRDefault="008234A9" w:rsidP="00E327AF">
      <w:pPr>
        <w:rPr>
          <w:rFonts w:eastAsia="Times New Roman" w:cs="Arial"/>
          <w:lang w:val="en-US"/>
        </w:rPr>
      </w:pPr>
      <w:r w:rsidRPr="008234A9">
        <w:rPr>
          <w:rFonts w:eastAsia="Times New Roman" w:cs="Arial"/>
          <w:lang w:val="en-US"/>
        </w:rPr>
        <w:t>Diagnostic Imaging</w:t>
      </w:r>
    </w:p>
    <w:p w14:paraId="5E573D62" w14:textId="7C7BDF73" w:rsidR="008234A9" w:rsidRPr="00CD08B7" w:rsidRDefault="008234A9">
      <w:pPr>
        <w:pStyle w:val="ListParagraph"/>
        <w:numPr>
          <w:ilvl w:val="0"/>
          <w:numId w:val="12"/>
        </w:numPr>
        <w:rPr>
          <w:rFonts w:ascii="Arial" w:hAnsi="Arial" w:cs="Arial"/>
          <w:sz w:val="22"/>
          <w:szCs w:val="22"/>
        </w:rPr>
      </w:pPr>
      <w:r w:rsidRPr="008234A9">
        <w:rPr>
          <w:rFonts w:ascii="Arial" w:hAnsi="Arial" w:cs="Arial"/>
          <w:sz w:val="22"/>
          <w:szCs w:val="22"/>
        </w:rPr>
        <w:t xml:space="preserve">The Board received updates regarding aging mammography equipment and increasing maintenance requirements. Planning discussions are underway regarding future equipment </w:t>
      </w:r>
      <w:r w:rsidRPr="00CD08B7">
        <w:rPr>
          <w:rFonts w:ascii="Arial" w:hAnsi="Arial" w:cs="Arial"/>
          <w:sz w:val="22"/>
          <w:szCs w:val="22"/>
        </w:rPr>
        <w:t>replacement to ensure continued access to local breast screening and diagnostic imaging services.</w:t>
      </w:r>
    </w:p>
    <w:p w14:paraId="3151E783" w14:textId="77777777" w:rsidR="008234A9" w:rsidRPr="00CD08B7" w:rsidRDefault="008234A9" w:rsidP="00E327AF">
      <w:pPr>
        <w:rPr>
          <w:rFonts w:eastAsia="Times New Roman" w:cs="Arial"/>
          <w:lang w:val="en-US"/>
        </w:rPr>
      </w:pPr>
    </w:p>
    <w:p w14:paraId="7DE7E916" w14:textId="580ACC71" w:rsidR="00DC68E5" w:rsidRPr="00CD08B7" w:rsidRDefault="00DC68E5" w:rsidP="00E327AF">
      <w:pPr>
        <w:rPr>
          <w:rFonts w:eastAsia="Times New Roman" w:cs="Arial"/>
          <w:lang w:val="en-US"/>
        </w:rPr>
      </w:pPr>
      <w:r w:rsidRPr="00CD08B7">
        <w:rPr>
          <w:rFonts w:eastAsia="Times New Roman" w:cs="Arial"/>
          <w:lang w:val="en-US"/>
        </w:rPr>
        <w:t>Emergency Department</w:t>
      </w:r>
    </w:p>
    <w:p w14:paraId="213C88EC" w14:textId="1B3116DA" w:rsidR="008234A9" w:rsidRPr="00CD08B7" w:rsidRDefault="008234A9">
      <w:pPr>
        <w:pStyle w:val="ListParagraph"/>
        <w:numPr>
          <w:ilvl w:val="0"/>
          <w:numId w:val="9"/>
        </w:numPr>
        <w:rPr>
          <w:rFonts w:ascii="Arial" w:hAnsi="Arial" w:cs="Arial"/>
          <w:sz w:val="22"/>
          <w:szCs w:val="22"/>
          <w:lang w:val="en-CA"/>
        </w:rPr>
      </w:pPr>
      <w:r w:rsidRPr="00CD08B7">
        <w:rPr>
          <w:rFonts w:ascii="Arial" w:hAnsi="Arial" w:cs="Arial"/>
          <w:sz w:val="22"/>
          <w:szCs w:val="22"/>
        </w:rPr>
        <w:t>Phase One of the ED Modernization renovations continue, including flooring replacement and modernization work designed to improve patient flow and the care environment while maintaining ongoing operations.</w:t>
      </w:r>
      <w:r w:rsidR="00CD08B7" w:rsidRPr="00CD08B7">
        <w:rPr>
          <w:rFonts w:ascii="Arial" w:hAnsi="Arial" w:cs="Arial"/>
          <w:sz w:val="22"/>
          <w:szCs w:val="22"/>
        </w:rPr>
        <w:t xml:space="preserve"> </w:t>
      </w:r>
      <w:r w:rsidRPr="00CD08B7">
        <w:rPr>
          <w:rFonts w:ascii="Arial" w:hAnsi="Arial" w:cs="Arial"/>
          <w:sz w:val="22"/>
          <w:szCs w:val="22"/>
          <w:lang w:val="en-CA"/>
        </w:rPr>
        <w:t>Planning for Phase Two are also underway for the creation of a secure medication room within the Emergency Department to improve medication security and workflow.</w:t>
      </w:r>
    </w:p>
    <w:p w14:paraId="1AFC7A02" w14:textId="62E16768" w:rsidR="00CD08B7" w:rsidRPr="00CD08B7" w:rsidRDefault="00CD08B7">
      <w:pPr>
        <w:pStyle w:val="ListParagraph"/>
        <w:numPr>
          <w:ilvl w:val="0"/>
          <w:numId w:val="9"/>
        </w:numPr>
        <w:rPr>
          <w:rFonts w:ascii="Arial" w:hAnsi="Arial" w:cs="Arial"/>
          <w:sz w:val="22"/>
          <w:szCs w:val="22"/>
        </w:rPr>
      </w:pPr>
      <w:r w:rsidRPr="00CD08B7">
        <w:rPr>
          <w:rFonts w:ascii="Arial" w:hAnsi="Arial" w:cs="Arial"/>
          <w:sz w:val="22"/>
          <w:szCs w:val="22"/>
          <w:lang w:val="en-CA"/>
        </w:rPr>
        <w:t>Ontario Health has released updated operational direction for emergency department mitigation and closure planning, establishing clearer expectations for advance escalation, regional coordination, communications, and closure decision-making processes. In response, the DRDH ED Team has completed a review and update of its internal ED closure policy to ensure alignment with Ontario Health’s operational direction and continued readiness should staffing or operational pressures impact emergency department operations.</w:t>
      </w:r>
    </w:p>
    <w:p w14:paraId="2718395E" w14:textId="77777777" w:rsidR="00084067" w:rsidRPr="00D20A98" w:rsidRDefault="00084067" w:rsidP="00E327AF">
      <w:pPr>
        <w:rPr>
          <w:rFonts w:eastAsia="Times New Roman" w:cs="Arial"/>
          <w:highlight w:val="yellow"/>
          <w:lang w:val="en-US"/>
        </w:rPr>
      </w:pPr>
    </w:p>
    <w:p w14:paraId="42295853" w14:textId="34B88D79" w:rsidR="004F5994" w:rsidRPr="008234A9" w:rsidRDefault="004F5994" w:rsidP="00E327AF">
      <w:pPr>
        <w:rPr>
          <w:rFonts w:eastAsia="Times New Roman" w:cs="Arial"/>
          <w:lang w:val="en-US"/>
        </w:rPr>
      </w:pPr>
      <w:r w:rsidRPr="008234A9">
        <w:rPr>
          <w:rFonts w:eastAsia="Times New Roman" w:cs="Arial"/>
          <w:lang w:val="en-US"/>
        </w:rPr>
        <w:t>Emergency Preparedness</w:t>
      </w:r>
    </w:p>
    <w:p w14:paraId="62C53DAE" w14:textId="74E77016" w:rsidR="007C7F0C" w:rsidRPr="008234A9" w:rsidRDefault="008234A9">
      <w:pPr>
        <w:pStyle w:val="ListParagraph"/>
        <w:numPr>
          <w:ilvl w:val="1"/>
          <w:numId w:val="3"/>
        </w:numPr>
        <w:ind w:left="709"/>
        <w:rPr>
          <w:rFonts w:cs="Arial"/>
        </w:rPr>
      </w:pPr>
      <w:r w:rsidRPr="008234A9">
        <w:rPr>
          <w:rFonts w:ascii="Arial" w:hAnsi="Arial" w:cs="Arial"/>
          <w:sz w:val="22"/>
          <w:szCs w:val="22"/>
          <w:lang w:val="en-CA"/>
        </w:rPr>
        <w:t xml:space="preserve">Emergency Preparedness Week activities were successfully completed in partnership with the Town of Deep River, helping increase awareness and preparedness among both staff and the </w:t>
      </w:r>
      <w:r w:rsidRPr="008234A9">
        <w:rPr>
          <w:rFonts w:ascii="Arial" w:hAnsi="Arial" w:cs="Arial"/>
          <w:sz w:val="22"/>
          <w:szCs w:val="22"/>
          <w:lang w:val="en-CA"/>
        </w:rPr>
        <w:lastRenderedPageBreak/>
        <w:t>community</w:t>
      </w:r>
      <w:r w:rsidR="007C7F0C" w:rsidRPr="008234A9">
        <w:rPr>
          <w:rFonts w:ascii="Arial" w:hAnsi="Arial" w:cs="Arial"/>
          <w:sz w:val="22"/>
          <w:szCs w:val="22"/>
        </w:rPr>
        <w:t>.</w:t>
      </w:r>
      <w:r>
        <w:rPr>
          <w:rFonts w:ascii="Arial" w:hAnsi="Arial" w:cs="Arial"/>
          <w:sz w:val="22"/>
          <w:szCs w:val="22"/>
        </w:rPr>
        <w:t xml:space="preserve"> </w:t>
      </w:r>
      <w:r w:rsidRPr="008234A9">
        <w:rPr>
          <w:rFonts w:ascii="Arial" w:hAnsi="Arial" w:cs="Arial"/>
          <w:sz w:val="22"/>
          <w:szCs w:val="22"/>
          <w:lang w:val="en-CA"/>
        </w:rPr>
        <w:t>Activities focused on increasing public awareness and strengthening preparedness knowledge among both staff and community members.</w:t>
      </w:r>
    </w:p>
    <w:p w14:paraId="32121BEA" w14:textId="77777777" w:rsidR="005665BC" w:rsidRPr="008234A9" w:rsidRDefault="005665BC" w:rsidP="005665BC">
      <w:pPr>
        <w:rPr>
          <w:rFonts w:cs="Arial"/>
        </w:rPr>
      </w:pPr>
    </w:p>
    <w:p w14:paraId="51C8BD02" w14:textId="4BBFE8B3" w:rsidR="008234A9" w:rsidRDefault="008234A9" w:rsidP="005665BC">
      <w:pPr>
        <w:rPr>
          <w:rFonts w:cs="Arial"/>
        </w:rPr>
      </w:pPr>
      <w:r>
        <w:rPr>
          <w:rFonts w:cs="Arial"/>
        </w:rPr>
        <w:t>Environmental Stewardship</w:t>
      </w:r>
    </w:p>
    <w:p w14:paraId="1DB86771" w14:textId="42F98416" w:rsidR="008234A9" w:rsidRPr="008234A9" w:rsidRDefault="008234A9">
      <w:pPr>
        <w:pStyle w:val="ListParagraph"/>
        <w:numPr>
          <w:ilvl w:val="0"/>
          <w:numId w:val="3"/>
        </w:numPr>
        <w:rPr>
          <w:rFonts w:ascii="Arial" w:hAnsi="Arial" w:cs="Arial"/>
          <w:sz w:val="22"/>
          <w:szCs w:val="22"/>
        </w:rPr>
      </w:pPr>
      <w:r w:rsidRPr="008234A9">
        <w:rPr>
          <w:rFonts w:ascii="Arial" w:hAnsi="Arial" w:cs="Arial"/>
          <w:sz w:val="22"/>
          <w:szCs w:val="22"/>
        </w:rPr>
        <w:t>The Board received updates on environmental stewardship initiatives taking place across the campus. In partnership with the Deep River Horticultural Society and Four Seasons Conservancy, areas surrounding the campus have been prepared and planted with meadow seeds as part of a naturalization project intended to reduce environmental impacts while enhancing green space across the property.</w:t>
      </w:r>
    </w:p>
    <w:p w14:paraId="4DB64BBC" w14:textId="77777777" w:rsidR="008234A9" w:rsidRDefault="008234A9" w:rsidP="005665BC">
      <w:pPr>
        <w:rPr>
          <w:rFonts w:cs="Arial"/>
        </w:rPr>
      </w:pPr>
    </w:p>
    <w:p w14:paraId="0E3EC90C" w14:textId="2F1B847C" w:rsidR="008234A9" w:rsidRPr="008234A9" w:rsidRDefault="008234A9" w:rsidP="005665BC">
      <w:pPr>
        <w:rPr>
          <w:rFonts w:cs="Arial"/>
        </w:rPr>
      </w:pPr>
      <w:r w:rsidRPr="008234A9">
        <w:rPr>
          <w:rFonts w:cs="Arial"/>
        </w:rPr>
        <w:t>Finance Team</w:t>
      </w:r>
    </w:p>
    <w:p w14:paraId="57DD0751" w14:textId="3D7A744F" w:rsidR="008234A9" w:rsidRDefault="008234A9">
      <w:pPr>
        <w:pStyle w:val="ListParagraph"/>
        <w:numPr>
          <w:ilvl w:val="1"/>
          <w:numId w:val="3"/>
        </w:numPr>
        <w:ind w:left="709"/>
        <w:rPr>
          <w:rFonts w:ascii="Arial" w:hAnsi="Arial" w:cs="Arial"/>
          <w:sz w:val="22"/>
          <w:szCs w:val="22"/>
          <w:lang w:val="en-CA"/>
        </w:rPr>
      </w:pPr>
      <w:r w:rsidRPr="008234A9">
        <w:rPr>
          <w:rFonts w:ascii="Arial" w:hAnsi="Arial" w:cs="Arial"/>
          <w:sz w:val="22"/>
          <w:szCs w:val="22"/>
          <w:lang w:val="en-CA"/>
        </w:rPr>
        <w:t>Preparations are underway for the organization’s 2025–2026 fiscal year-end audit. The Board was advised that the organization is currently projecting a positive year-end financial position, reflecting ongoing efforts to balance service delivery, growth, and financial sustainability.</w:t>
      </w:r>
    </w:p>
    <w:p w14:paraId="56835A78" w14:textId="77777777" w:rsidR="008234A9" w:rsidRPr="00CD08B7" w:rsidRDefault="008234A9" w:rsidP="005665BC">
      <w:pPr>
        <w:rPr>
          <w:rFonts w:cs="Arial"/>
        </w:rPr>
      </w:pPr>
    </w:p>
    <w:p w14:paraId="3837BE51" w14:textId="066C928C" w:rsidR="005665BC" w:rsidRPr="00CD08B7" w:rsidRDefault="005665BC" w:rsidP="005665BC">
      <w:pPr>
        <w:rPr>
          <w:rFonts w:cs="Arial"/>
        </w:rPr>
      </w:pPr>
      <w:r w:rsidRPr="00CD08B7">
        <w:rPr>
          <w:rFonts w:cs="Arial"/>
        </w:rPr>
        <w:t>Family Health Team</w:t>
      </w:r>
    </w:p>
    <w:p w14:paraId="353E05CB" w14:textId="3F7F5178" w:rsidR="005665BC" w:rsidRPr="00CD08B7" w:rsidRDefault="008234A9">
      <w:pPr>
        <w:pStyle w:val="ListParagraph"/>
        <w:numPr>
          <w:ilvl w:val="0"/>
          <w:numId w:val="3"/>
        </w:numPr>
        <w:rPr>
          <w:rFonts w:ascii="Arial" w:hAnsi="Arial" w:cs="Arial"/>
          <w:sz w:val="22"/>
          <w:szCs w:val="22"/>
        </w:rPr>
      </w:pPr>
      <w:r w:rsidRPr="00CD08B7">
        <w:rPr>
          <w:rFonts w:ascii="Arial" w:hAnsi="Arial" w:cs="Arial"/>
          <w:sz w:val="22"/>
          <w:szCs w:val="22"/>
        </w:rPr>
        <w:t>Operational planning for the new MINT Memory Clinic continues, with service launch anticipated in the coming months. The clinic will improve access to assessment, diagnosis, and support services for individuals living with memory-related conditions closer to home.</w:t>
      </w:r>
    </w:p>
    <w:p w14:paraId="00EAEE9F" w14:textId="052A9B93" w:rsidR="00CD08B7" w:rsidRPr="00CD08B7" w:rsidRDefault="00CD08B7">
      <w:pPr>
        <w:pStyle w:val="ListParagraph"/>
        <w:widowControl w:val="0"/>
        <w:numPr>
          <w:ilvl w:val="0"/>
          <w:numId w:val="3"/>
        </w:numPr>
        <w:tabs>
          <w:tab w:val="left" w:pos="360"/>
          <w:tab w:val="left" w:pos="851"/>
          <w:tab w:val="right" w:pos="9356"/>
        </w:tabs>
        <w:autoSpaceDE w:val="0"/>
        <w:autoSpaceDN w:val="0"/>
        <w:adjustRightInd w:val="0"/>
        <w:spacing w:line="240" w:lineRule="exact"/>
        <w:ind w:right="-115"/>
        <w:rPr>
          <w:rFonts w:ascii="Arial" w:hAnsi="Arial" w:cs="Arial"/>
          <w:sz w:val="22"/>
          <w:szCs w:val="22"/>
        </w:rPr>
      </w:pPr>
      <w:r w:rsidRPr="00CD08B7">
        <w:rPr>
          <w:rFonts w:ascii="Arial" w:hAnsi="Arial" w:cs="Arial"/>
          <w:sz w:val="22"/>
          <w:szCs w:val="22"/>
        </w:rPr>
        <w:t>The Board received the Family Health Team Annual Operating Plan for 2026-2027, as well as a presentation highlighting programming planning, performance indicators for the coming year as well as expanded programming incorporated in the new building. The Board of Directors approved the FHT Annual Operating Plan Submission for FY 2026-2027 as presented.</w:t>
      </w:r>
    </w:p>
    <w:p w14:paraId="52D4B4C3" w14:textId="77777777" w:rsidR="005C4C97" w:rsidRPr="00CD08B7" w:rsidRDefault="005C4C97" w:rsidP="00E327AF">
      <w:pPr>
        <w:rPr>
          <w:rFonts w:eastAsia="Times New Roman" w:cs="Arial"/>
          <w:lang w:val="en-US"/>
        </w:rPr>
      </w:pPr>
    </w:p>
    <w:p w14:paraId="18C4675D" w14:textId="3CE2035E" w:rsidR="00E327AF" w:rsidRPr="00CD08B7" w:rsidRDefault="00E327AF" w:rsidP="00E327AF">
      <w:pPr>
        <w:rPr>
          <w:rFonts w:cs="Arial"/>
        </w:rPr>
      </w:pPr>
      <w:r w:rsidRPr="00CD08B7">
        <w:rPr>
          <w:rFonts w:cs="Arial"/>
        </w:rPr>
        <w:t>Human Resources</w:t>
      </w:r>
    </w:p>
    <w:p w14:paraId="5F068B0B" w14:textId="1F4154B5" w:rsidR="008234A9" w:rsidRPr="00CD08B7" w:rsidRDefault="008234A9">
      <w:pPr>
        <w:pStyle w:val="ListParagraph"/>
        <w:numPr>
          <w:ilvl w:val="0"/>
          <w:numId w:val="11"/>
        </w:numPr>
        <w:rPr>
          <w:rFonts w:ascii="Arial" w:hAnsi="Arial" w:cs="Arial"/>
          <w:sz w:val="22"/>
          <w:szCs w:val="22"/>
        </w:rPr>
      </w:pPr>
      <w:r w:rsidRPr="00CD08B7">
        <w:rPr>
          <w:rFonts w:ascii="Arial" w:hAnsi="Arial" w:cs="Arial"/>
          <w:sz w:val="22"/>
          <w:szCs w:val="22"/>
        </w:rPr>
        <w:t>Work continues to optimize the organization’s new scheduling system. Ongoing adjustments, workflow improvements, and corrections to initial design challenges are being implemented to improve system performance and user experience.</w:t>
      </w:r>
    </w:p>
    <w:p w14:paraId="2B45653A" w14:textId="178B88A9" w:rsidR="008234A9" w:rsidRPr="00CD08B7" w:rsidRDefault="008234A9">
      <w:pPr>
        <w:pStyle w:val="ListParagraph"/>
        <w:numPr>
          <w:ilvl w:val="0"/>
          <w:numId w:val="11"/>
        </w:numPr>
        <w:rPr>
          <w:rFonts w:ascii="Arial" w:hAnsi="Arial" w:cs="Arial"/>
          <w:sz w:val="22"/>
          <w:szCs w:val="22"/>
        </w:rPr>
      </w:pPr>
      <w:r w:rsidRPr="00CD08B7">
        <w:rPr>
          <w:rFonts w:ascii="Arial" w:hAnsi="Arial" w:cs="Arial"/>
          <w:sz w:val="22"/>
          <w:szCs w:val="22"/>
        </w:rPr>
        <w:t>The Board received updates regarding organizational workforce development initiatives, including continued efforts to strengthen leadership development and performance management processes. Performance appraisal completion rates for the previous fiscal year exceeded 80%, with work underway to further align performance management activities with leadership development and succession planning priorities.</w:t>
      </w:r>
    </w:p>
    <w:p w14:paraId="2E0BDB03" w14:textId="77777777" w:rsidR="00932088" w:rsidRPr="00CD08B7" w:rsidRDefault="00932088" w:rsidP="00CD08B7">
      <w:pPr>
        <w:rPr>
          <w:rFonts w:cs="Arial"/>
        </w:rPr>
      </w:pPr>
    </w:p>
    <w:p w14:paraId="3CD76A5D" w14:textId="6E2119BA" w:rsidR="00CD08B7" w:rsidRPr="00CD08B7" w:rsidRDefault="00CD08B7" w:rsidP="001B7821">
      <w:pPr>
        <w:rPr>
          <w:rFonts w:cs="Arial"/>
        </w:rPr>
      </w:pPr>
      <w:r w:rsidRPr="00CD08B7">
        <w:rPr>
          <w:rFonts w:cs="Arial"/>
        </w:rPr>
        <w:t>Information Technology</w:t>
      </w:r>
    </w:p>
    <w:p w14:paraId="1502CA8C" w14:textId="272114C2" w:rsidR="00CD08B7" w:rsidRPr="00CD08B7" w:rsidRDefault="00CD08B7">
      <w:pPr>
        <w:pStyle w:val="ListParagraph"/>
        <w:numPr>
          <w:ilvl w:val="0"/>
          <w:numId w:val="11"/>
        </w:numPr>
        <w:rPr>
          <w:rFonts w:ascii="Arial" w:hAnsi="Arial" w:cs="Arial"/>
          <w:sz w:val="22"/>
          <w:szCs w:val="22"/>
        </w:rPr>
      </w:pPr>
      <w:r w:rsidRPr="00CD08B7">
        <w:rPr>
          <w:rFonts w:ascii="Arial" w:hAnsi="Arial" w:cs="Arial"/>
          <w:sz w:val="22"/>
          <w:szCs w:val="22"/>
        </w:rPr>
        <w:t xml:space="preserve">Phone system upgrades were completed on May 16th in preparation of the Long-Term Care development. This upgrade doubled the amount of concurrent phone lines to handle calls for the organization.  </w:t>
      </w:r>
    </w:p>
    <w:p w14:paraId="51FD4C17" w14:textId="77777777" w:rsidR="00CD08B7" w:rsidRPr="00CD08B7" w:rsidRDefault="00CD08B7" w:rsidP="001B7821">
      <w:pPr>
        <w:rPr>
          <w:rFonts w:cs="Arial"/>
        </w:rPr>
      </w:pPr>
    </w:p>
    <w:p w14:paraId="6EE992AD" w14:textId="2F184AE0" w:rsidR="001B7821" w:rsidRPr="00CD08B7" w:rsidRDefault="001B7821" w:rsidP="001B7821">
      <w:pPr>
        <w:rPr>
          <w:rFonts w:cs="Arial"/>
        </w:rPr>
      </w:pPr>
      <w:r w:rsidRPr="00CD08B7">
        <w:rPr>
          <w:rFonts w:cs="Arial"/>
        </w:rPr>
        <w:t>Long-Term Care</w:t>
      </w:r>
    </w:p>
    <w:p w14:paraId="5CFF5624" w14:textId="41B78ADA" w:rsidR="001B7821" w:rsidRPr="00CD08B7" w:rsidRDefault="00CD08B7">
      <w:pPr>
        <w:pStyle w:val="ListParagraph"/>
        <w:numPr>
          <w:ilvl w:val="0"/>
          <w:numId w:val="4"/>
        </w:numPr>
        <w:rPr>
          <w:rFonts w:ascii="Arial" w:hAnsi="Arial" w:cs="Arial"/>
          <w:sz w:val="22"/>
          <w:szCs w:val="22"/>
        </w:rPr>
      </w:pPr>
      <w:r w:rsidRPr="00CD08B7">
        <w:rPr>
          <w:rFonts w:ascii="Arial" w:hAnsi="Arial" w:cs="Arial"/>
          <w:sz w:val="22"/>
          <w:szCs w:val="22"/>
        </w:rPr>
        <w:t>The Ministry of Long-Term Care has confirmed continued Level of Care funding for unoccupied third and above beds in ward rooms for 2026–27 at current levels. This secures funding for the two unoccupied ward beds in Four Seasons Lodge. The MLTC has outlined a phased reduction of this funding beginning in 2027–28, with full elimination by 2030–31. As Four Seasons Lodge is actively progressing through redevelopment with the plans to release the interim licenses for the ward beds once the new home is occupied, this provides short-term budget stability.</w:t>
      </w:r>
      <w:r w:rsidR="001B7821" w:rsidRPr="00CD08B7">
        <w:rPr>
          <w:rFonts w:ascii="Arial" w:hAnsi="Arial" w:cs="Arial"/>
          <w:sz w:val="22"/>
          <w:szCs w:val="22"/>
        </w:rPr>
        <w:t xml:space="preserve"> </w:t>
      </w:r>
    </w:p>
    <w:p w14:paraId="30B74044" w14:textId="77777777" w:rsidR="001B7821" w:rsidRPr="00CD08B7" w:rsidRDefault="001B7821" w:rsidP="00A73C54">
      <w:pPr>
        <w:rPr>
          <w:rFonts w:cs="Arial"/>
        </w:rPr>
      </w:pPr>
    </w:p>
    <w:p w14:paraId="7A8E47C6" w14:textId="2C1E8A47" w:rsidR="004F5994" w:rsidRPr="00CD08B7" w:rsidRDefault="004F5994" w:rsidP="00C2533B">
      <w:pPr>
        <w:rPr>
          <w:rFonts w:cs="Arial"/>
        </w:rPr>
      </w:pPr>
      <w:r w:rsidRPr="00CD08B7">
        <w:rPr>
          <w:rFonts w:cs="Arial"/>
        </w:rPr>
        <w:t>Medical Affairs &amp; Recruitment</w:t>
      </w:r>
    </w:p>
    <w:p w14:paraId="1688C192" w14:textId="2F968354" w:rsidR="00AC7BDC" w:rsidRPr="00CD08B7" w:rsidRDefault="00CD08B7">
      <w:pPr>
        <w:pStyle w:val="ListParagraph"/>
        <w:numPr>
          <w:ilvl w:val="0"/>
          <w:numId w:val="8"/>
        </w:numPr>
        <w:ind w:left="709"/>
        <w:rPr>
          <w:rFonts w:ascii="Arial" w:hAnsi="Arial" w:cs="Arial"/>
          <w:sz w:val="22"/>
          <w:szCs w:val="22"/>
        </w:rPr>
      </w:pPr>
      <w:r w:rsidRPr="00CD08B7">
        <w:rPr>
          <w:rFonts w:ascii="Arial" w:hAnsi="Arial" w:cs="Arial"/>
          <w:sz w:val="22"/>
          <w:szCs w:val="22"/>
        </w:rPr>
        <w:t xml:space="preserve">The organization will be welcoming students and clerks for Community Weeks on May 25 and June 1. For </w:t>
      </w:r>
      <w:r w:rsidR="00074A9F" w:rsidRPr="00CD08B7">
        <w:rPr>
          <w:rFonts w:ascii="Arial" w:hAnsi="Arial" w:cs="Arial"/>
          <w:sz w:val="22"/>
          <w:szCs w:val="22"/>
        </w:rPr>
        <w:t>one</w:t>
      </w:r>
      <w:r w:rsidR="00074A9F">
        <w:rPr>
          <w:rFonts w:ascii="Arial" w:hAnsi="Arial" w:cs="Arial"/>
          <w:sz w:val="22"/>
          <w:szCs w:val="22"/>
        </w:rPr>
        <w:t xml:space="preserve"> </w:t>
      </w:r>
      <w:r w:rsidR="00074A9F" w:rsidRPr="00CD08B7">
        <w:rPr>
          <w:rFonts w:ascii="Arial" w:hAnsi="Arial" w:cs="Arial"/>
          <w:sz w:val="22"/>
          <w:szCs w:val="22"/>
        </w:rPr>
        <w:t>week</w:t>
      </w:r>
      <w:r w:rsidRPr="00CD08B7">
        <w:rPr>
          <w:rFonts w:ascii="Arial" w:hAnsi="Arial" w:cs="Arial"/>
          <w:sz w:val="22"/>
          <w:szCs w:val="22"/>
        </w:rPr>
        <w:t>, medical residents and clerks will be visiting Deep River, working with local physicians and experiencing rural medicine and life.</w:t>
      </w:r>
      <w:r w:rsidR="00AC7BDC" w:rsidRPr="00CD08B7">
        <w:rPr>
          <w:rFonts w:cs="Arial"/>
        </w:rPr>
        <w:t xml:space="preserve">  </w:t>
      </w:r>
    </w:p>
    <w:p w14:paraId="1294CC4A" w14:textId="77777777" w:rsidR="005665BC" w:rsidRPr="00CD08B7" w:rsidRDefault="005665BC" w:rsidP="005665BC">
      <w:pPr>
        <w:rPr>
          <w:rFonts w:cs="Arial"/>
        </w:rPr>
      </w:pPr>
    </w:p>
    <w:p w14:paraId="1994C80B" w14:textId="254C2AC9" w:rsidR="005665BC" w:rsidRPr="00CD08B7" w:rsidRDefault="005665BC" w:rsidP="005665BC">
      <w:pPr>
        <w:rPr>
          <w:rFonts w:cs="Arial"/>
        </w:rPr>
      </w:pPr>
      <w:r w:rsidRPr="00CD08B7">
        <w:rPr>
          <w:rFonts w:cs="Arial"/>
        </w:rPr>
        <w:lastRenderedPageBreak/>
        <w:t>Medical Inpatient Unit</w:t>
      </w:r>
    </w:p>
    <w:p w14:paraId="441AD507" w14:textId="7F6BFDAE" w:rsidR="005C4C97" w:rsidRPr="00CD08B7" w:rsidRDefault="00CD08B7">
      <w:pPr>
        <w:pStyle w:val="ListParagraph"/>
        <w:numPr>
          <w:ilvl w:val="0"/>
          <w:numId w:val="4"/>
        </w:numPr>
        <w:rPr>
          <w:rFonts w:ascii="Arial" w:hAnsi="Arial" w:cs="Arial"/>
          <w:sz w:val="22"/>
          <w:szCs w:val="22"/>
        </w:rPr>
      </w:pPr>
      <w:commentRangeStart w:id="0"/>
      <w:commentRangeStart w:id="1"/>
      <w:r w:rsidRPr="00CD08B7">
        <w:rPr>
          <w:rFonts w:ascii="Arial" w:hAnsi="Arial" w:cs="Arial"/>
          <w:sz w:val="22"/>
          <w:szCs w:val="22"/>
        </w:rPr>
        <w:t xml:space="preserve">The Medical Inpatient Unit has recently installed a SoundEar within the department to monitor and alert staff of rising noise levels. This strategy was a result of patient feedback and PFAC discussion related to high levels of noise on the unit particularly at night.  </w:t>
      </w:r>
      <w:commentRangeEnd w:id="0"/>
      <w:r w:rsidRPr="00CD08B7">
        <w:rPr>
          <w:rStyle w:val="CommentReference"/>
          <w:rFonts w:ascii="Arial" w:hAnsi="Arial" w:cs="Arial"/>
          <w:sz w:val="22"/>
          <w:szCs w:val="22"/>
        </w:rPr>
        <w:commentReference w:id="0"/>
      </w:r>
      <w:commentRangeEnd w:id="1"/>
      <w:r w:rsidRPr="00CD08B7">
        <w:rPr>
          <w:rStyle w:val="CommentReference"/>
          <w:rFonts w:ascii="Arial" w:hAnsi="Arial" w:cs="Arial"/>
          <w:sz w:val="22"/>
          <w:szCs w:val="22"/>
        </w:rPr>
        <w:commentReference w:id="1"/>
      </w:r>
    </w:p>
    <w:p w14:paraId="3B487502" w14:textId="77777777" w:rsidR="00CD08B7" w:rsidRPr="00CD08B7" w:rsidRDefault="00CD08B7" w:rsidP="005C4C97">
      <w:pPr>
        <w:rPr>
          <w:rFonts w:cs="Arial"/>
        </w:rPr>
      </w:pPr>
    </w:p>
    <w:p w14:paraId="11C76E86" w14:textId="4CCEF98D" w:rsidR="00B12A4D" w:rsidRPr="00CD08B7" w:rsidRDefault="00B12A4D" w:rsidP="005C4C97">
      <w:pPr>
        <w:rPr>
          <w:rFonts w:cs="Arial"/>
        </w:rPr>
      </w:pPr>
      <w:r w:rsidRPr="00CD08B7">
        <w:rPr>
          <w:rFonts w:cs="Arial"/>
        </w:rPr>
        <w:t>Nursing</w:t>
      </w:r>
    </w:p>
    <w:p w14:paraId="23B920B7" w14:textId="77777777" w:rsidR="00CD08B7" w:rsidRPr="00CD08B7" w:rsidRDefault="00CD08B7">
      <w:pPr>
        <w:pStyle w:val="ListParagraph"/>
        <w:numPr>
          <w:ilvl w:val="0"/>
          <w:numId w:val="4"/>
        </w:numPr>
        <w:rPr>
          <w:rFonts w:ascii="Arial" w:hAnsi="Arial" w:cs="Arial"/>
          <w:sz w:val="22"/>
          <w:szCs w:val="22"/>
        </w:rPr>
      </w:pPr>
      <w:r w:rsidRPr="00CD08B7">
        <w:rPr>
          <w:rFonts w:ascii="Arial" w:hAnsi="Arial" w:cs="Arial"/>
          <w:sz w:val="22"/>
          <w:szCs w:val="22"/>
        </w:rPr>
        <w:t xml:space="preserve">The inpatient team has welcomed five Clinical Externs for the summer, offering 24/7 support from May to September. Temporary Clinical Extern positions are funded through Ontario Health, and offer students undergoing clinical training programs (nursing, paramedicine, etc.) work experience early in clinical environments. </w:t>
      </w:r>
    </w:p>
    <w:p w14:paraId="17ECB0E7" w14:textId="092A6B38" w:rsidR="00B12A4D" w:rsidRPr="00CD08B7" w:rsidRDefault="00CD08B7">
      <w:pPr>
        <w:pStyle w:val="ListParagraph"/>
        <w:numPr>
          <w:ilvl w:val="0"/>
          <w:numId w:val="4"/>
        </w:numPr>
        <w:rPr>
          <w:rFonts w:ascii="Arial" w:hAnsi="Arial" w:cs="Arial"/>
          <w:sz w:val="22"/>
          <w:szCs w:val="22"/>
        </w:rPr>
      </w:pPr>
      <w:r w:rsidRPr="00CD08B7">
        <w:rPr>
          <w:rFonts w:ascii="Arial" w:hAnsi="Arial" w:cs="Arial"/>
          <w:sz w:val="22"/>
          <w:szCs w:val="22"/>
        </w:rPr>
        <w:t>Nursing Week was celebrated May 11-15 with a mixture of daily food and treats, education as well as prizes and activities.</w:t>
      </w:r>
    </w:p>
    <w:p w14:paraId="5B740AB2" w14:textId="77777777" w:rsidR="00B12A4D" w:rsidRPr="00CD08B7" w:rsidRDefault="00B12A4D" w:rsidP="005C4C97">
      <w:pPr>
        <w:rPr>
          <w:rFonts w:cs="Arial"/>
        </w:rPr>
      </w:pPr>
    </w:p>
    <w:p w14:paraId="358107FE" w14:textId="6E4B57CB" w:rsidR="005C4C97" w:rsidRPr="00CD08B7" w:rsidRDefault="005C4C97" w:rsidP="005C4C97">
      <w:pPr>
        <w:rPr>
          <w:rFonts w:cs="Arial"/>
        </w:rPr>
      </w:pPr>
      <w:r w:rsidRPr="00CD08B7">
        <w:rPr>
          <w:rFonts w:cs="Arial"/>
        </w:rPr>
        <w:t>Organizational &amp; Workforce Development</w:t>
      </w:r>
    </w:p>
    <w:p w14:paraId="3784A8B8" w14:textId="622E2706" w:rsidR="008234A9" w:rsidRPr="00CD08B7" w:rsidRDefault="008234A9">
      <w:pPr>
        <w:pStyle w:val="ListParagraph"/>
        <w:numPr>
          <w:ilvl w:val="0"/>
          <w:numId w:val="6"/>
        </w:numPr>
        <w:rPr>
          <w:rFonts w:ascii="Arial" w:hAnsi="Arial" w:cs="Arial"/>
          <w:sz w:val="22"/>
          <w:szCs w:val="22"/>
        </w:rPr>
      </w:pPr>
      <w:r w:rsidRPr="00CD08B7">
        <w:rPr>
          <w:rFonts w:ascii="Arial" w:hAnsi="Arial" w:cs="Arial"/>
          <w:sz w:val="22"/>
          <w:szCs w:val="22"/>
        </w:rPr>
        <w:t>The Board received updates regarding organizational workforce development initiatives, including continued efforts to strengthen leadership development and performance management processes. Performance appraisal completion rates for the previous fiscal year exceeded 80%, with work underway to further align performance management activities with leadership development and succession planning priorities.</w:t>
      </w:r>
    </w:p>
    <w:p w14:paraId="3ACCDE80" w14:textId="1E6583F9" w:rsidR="008234A9" w:rsidRPr="00CD08B7" w:rsidRDefault="008234A9">
      <w:pPr>
        <w:pStyle w:val="ListParagraph"/>
        <w:numPr>
          <w:ilvl w:val="0"/>
          <w:numId w:val="6"/>
        </w:numPr>
        <w:rPr>
          <w:rFonts w:ascii="Arial" w:hAnsi="Arial" w:cs="Arial"/>
          <w:sz w:val="22"/>
          <w:szCs w:val="22"/>
        </w:rPr>
      </w:pPr>
      <w:r w:rsidRPr="00CD08B7">
        <w:rPr>
          <w:rFonts w:ascii="Arial" w:hAnsi="Arial" w:cs="Arial"/>
          <w:sz w:val="22"/>
          <w:szCs w:val="22"/>
        </w:rPr>
        <w:t>The Board was advised of a new partnership with the Canadian Centre for Diversity and Inclusion (CCDI). This partnership will support organizational education, equity, diversity, inclusion, anti-racism initiatives, and workforce development activities, while helping strengthen recruitment efforts and workplace culture.</w:t>
      </w:r>
    </w:p>
    <w:p w14:paraId="05AE700E" w14:textId="3D16930F" w:rsidR="00023DDE" w:rsidRPr="00CD08B7" w:rsidRDefault="00CD08B7">
      <w:pPr>
        <w:pStyle w:val="ListParagraph"/>
        <w:numPr>
          <w:ilvl w:val="0"/>
          <w:numId w:val="6"/>
        </w:numPr>
        <w:rPr>
          <w:rFonts w:ascii="Arial" w:eastAsiaTheme="minorHAnsi" w:hAnsi="Arial" w:cs="Arial"/>
          <w:sz w:val="22"/>
          <w:szCs w:val="22"/>
        </w:rPr>
      </w:pPr>
      <w:r w:rsidRPr="00CD08B7">
        <w:rPr>
          <w:rFonts w:ascii="Arial" w:hAnsi="Arial" w:cs="Arial"/>
          <w:sz w:val="22"/>
          <w:szCs w:val="22"/>
        </w:rPr>
        <w:t>As part of building capacity amongst the leadership team, three members of DRDH’s management team will be participating in an upcoming professional education session focused on preventing workplace discrimination and harassment hosted by Advantage Ontario. This participation reflects the organization’s continued commitment to leadership development, fostering safe and respectful workplaces, and ensuring leaders are equipped with current knowledge to support organizational culture, compliance, and effective people leadership.</w:t>
      </w:r>
    </w:p>
    <w:p w14:paraId="6B7139CC" w14:textId="77777777" w:rsidR="003E3C65" w:rsidRPr="00CD08B7" w:rsidRDefault="003E3C65" w:rsidP="003E3C65">
      <w:pPr>
        <w:pStyle w:val="ListParagraph"/>
        <w:rPr>
          <w:rFonts w:cs="Arial"/>
        </w:rPr>
      </w:pPr>
    </w:p>
    <w:p w14:paraId="28C6B7B8" w14:textId="37ADF56E" w:rsidR="00C2533B" w:rsidRPr="00CD08B7" w:rsidRDefault="00C2533B" w:rsidP="00C2533B">
      <w:pPr>
        <w:rPr>
          <w:rFonts w:cs="Arial"/>
        </w:rPr>
      </w:pPr>
      <w:r w:rsidRPr="00CD08B7">
        <w:rPr>
          <w:rFonts w:cs="Arial"/>
        </w:rPr>
        <w:t>Regional</w:t>
      </w:r>
      <w:r w:rsidR="008234A9" w:rsidRPr="00CD08B7">
        <w:rPr>
          <w:rFonts w:cs="Arial"/>
        </w:rPr>
        <w:t xml:space="preserve"> &amp; Provincial</w:t>
      </w:r>
      <w:r w:rsidRPr="00CD08B7">
        <w:rPr>
          <w:rFonts w:cs="Arial"/>
        </w:rPr>
        <w:t xml:space="preserve"> Partners</w:t>
      </w:r>
    </w:p>
    <w:p w14:paraId="49D8E260" w14:textId="3C782FB8" w:rsidR="008234A9" w:rsidRPr="00CD08B7" w:rsidRDefault="008234A9">
      <w:pPr>
        <w:pStyle w:val="ListParagraph"/>
        <w:numPr>
          <w:ilvl w:val="0"/>
          <w:numId w:val="5"/>
        </w:numPr>
        <w:rPr>
          <w:rFonts w:ascii="Arial" w:hAnsi="Arial" w:cs="Arial"/>
          <w:sz w:val="22"/>
          <w:szCs w:val="22"/>
          <w:lang w:val="en-CA"/>
        </w:rPr>
      </w:pPr>
      <w:r w:rsidRPr="00CD08B7">
        <w:rPr>
          <w:rFonts w:ascii="Arial" w:hAnsi="Arial" w:cs="Arial"/>
          <w:sz w:val="22"/>
          <w:szCs w:val="22"/>
          <w:lang w:val="en-CA"/>
        </w:rPr>
        <w:t xml:space="preserve">The Board received updates regarding regional partnerships and advocacy efforts. DRDH participated in Ministry of Long-Term Care consultations related to standardized long-term care home design development, helping provide sector input to support future capital planning across Ontario. </w:t>
      </w:r>
    </w:p>
    <w:p w14:paraId="3EA1CD50" w14:textId="27AD3FE0" w:rsidR="008234A9" w:rsidRPr="00CD08B7" w:rsidRDefault="008234A9">
      <w:pPr>
        <w:pStyle w:val="ListParagraph"/>
        <w:numPr>
          <w:ilvl w:val="0"/>
          <w:numId w:val="5"/>
        </w:numPr>
        <w:rPr>
          <w:rFonts w:ascii="Arial" w:hAnsi="Arial" w:cs="Arial"/>
          <w:sz w:val="22"/>
          <w:szCs w:val="22"/>
          <w:lang w:val="en-CA"/>
        </w:rPr>
      </w:pPr>
      <w:r w:rsidRPr="00CD08B7">
        <w:rPr>
          <w:rFonts w:ascii="Arial" w:hAnsi="Arial" w:cs="Arial"/>
          <w:sz w:val="22"/>
          <w:szCs w:val="22"/>
          <w:lang w:val="en-CA"/>
        </w:rPr>
        <w:t>The organization also hosted representatives from the University of Ottawa Heart Institute to explore future partnership opportunities aimed at improving access to specialized cardiac services for local residents.</w:t>
      </w:r>
    </w:p>
    <w:p w14:paraId="1A4787F7" w14:textId="77777777" w:rsidR="00932088" w:rsidRPr="00CD08B7" w:rsidRDefault="00932088" w:rsidP="00932088">
      <w:pPr>
        <w:rPr>
          <w:rFonts w:cs="Arial"/>
        </w:rPr>
      </w:pPr>
    </w:p>
    <w:p w14:paraId="320918CB" w14:textId="67F26D31" w:rsidR="00932088" w:rsidRPr="00CD08B7" w:rsidRDefault="00932088" w:rsidP="00932088">
      <w:pPr>
        <w:rPr>
          <w:rFonts w:cs="Arial"/>
        </w:rPr>
      </w:pPr>
      <w:r w:rsidRPr="00CD08B7">
        <w:rPr>
          <w:rFonts w:cs="Arial"/>
        </w:rPr>
        <w:t>Quality</w:t>
      </w:r>
    </w:p>
    <w:p w14:paraId="2B9ACA5D" w14:textId="69F5C609" w:rsidR="005665BC" w:rsidRPr="00CD08B7" w:rsidRDefault="00CD08B7">
      <w:pPr>
        <w:pStyle w:val="ListParagraph"/>
        <w:numPr>
          <w:ilvl w:val="0"/>
          <w:numId w:val="8"/>
        </w:numPr>
        <w:ind w:left="709"/>
        <w:rPr>
          <w:rFonts w:ascii="Arial" w:hAnsi="Arial" w:cs="Arial"/>
          <w:iCs/>
          <w:sz w:val="22"/>
          <w:szCs w:val="22"/>
        </w:rPr>
      </w:pPr>
      <w:r w:rsidRPr="00CD08B7">
        <w:rPr>
          <w:rFonts w:ascii="Arial" w:hAnsi="Arial" w:cs="Arial"/>
          <w:sz w:val="22"/>
          <w:szCs w:val="22"/>
          <w:lang w:eastAsia="en-CA"/>
        </w:rPr>
        <w:t>The organization has kicked off preparation for the Accreditation Survey in early 2027, with initial working groups formed for review of standards and action planning. Groups are expected to complete initial review of standards by the end of June, for priority items to be added into operational planning and evidence collection to begin shortly thereafter.</w:t>
      </w:r>
    </w:p>
    <w:p w14:paraId="3909284C" w14:textId="723628FE" w:rsidR="005A75A8" w:rsidRPr="00CD08B7" w:rsidRDefault="005A75A8" w:rsidP="00CD08B7">
      <w:pPr>
        <w:rPr>
          <w:rFonts w:cs="Arial"/>
        </w:rPr>
      </w:pPr>
    </w:p>
    <w:sectPr w:rsidR="005A75A8" w:rsidRPr="00CD08B7" w:rsidSect="009E7B86">
      <w:pgSz w:w="12240" w:h="15840"/>
      <w:pgMar w:top="1008" w:right="1152" w:bottom="1134" w:left="1138"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nna Hotson" w:date="2026-05-13T13:57:00Z" w:initials="JH">
    <w:p w14:paraId="6CEFE6FB" w14:textId="77777777" w:rsidR="00CD08B7" w:rsidRDefault="00CD08B7" w:rsidP="0015795E">
      <w:pPr>
        <w:pStyle w:val="CommentText"/>
      </w:pPr>
      <w:r>
        <w:rPr>
          <w:rStyle w:val="CommentReference"/>
        </w:rPr>
        <w:annotationRef/>
      </w:r>
      <w:r>
        <w:t xml:space="preserve">Maybe the ear? Quiet at night? </w:t>
      </w:r>
    </w:p>
  </w:comment>
  <w:comment w:id="1" w:author="Janna Hotson" w:date="2026-05-13T15:05:00Z" w:initials="JH">
    <w:p w14:paraId="4A7D253E" w14:textId="77777777" w:rsidR="00CD08B7" w:rsidRDefault="00CD08B7" w:rsidP="00617378">
      <w:pPr>
        <w:pStyle w:val="CommentText"/>
      </w:pPr>
      <w:r>
        <w:rPr>
          <w:rStyle w:val="CommentReference"/>
        </w:rPr>
        <w:annotationRef/>
      </w:r>
      <w:r>
        <w:t xml:space="preserve">Maybe about low census?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EFE6FB" w15:done="1"/>
  <w15:commentEx w15:paraId="4A7D253E" w15:paraIdParent="6CEFE6F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7C9D67" w16cex:dateUtc="2026-05-13T17:57:00Z"/>
  <w16cex:commentExtensible w16cex:durableId="40DD4643" w16cex:dateUtc="2026-05-13T1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EFE6FB" w16cid:durableId="047C9D67"/>
  <w16cid:commentId w16cid:paraId="4A7D253E" w16cid:durableId="40DD464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A187192"/>
    <w:lvl w:ilvl="0">
      <w:start w:val="1"/>
      <w:numFmt w:val="decimal"/>
      <w:pStyle w:val="Quick1"/>
      <w:lvlText w:val="%1."/>
      <w:lvlJc w:val="left"/>
      <w:pPr>
        <w:tabs>
          <w:tab w:val="num" w:pos="720"/>
        </w:tabs>
      </w:pPr>
      <w:rPr>
        <w:rFonts w:ascii="Times New Roman" w:hAnsi="Times New Roman" w:cs="Times New Roman"/>
        <w:sz w:val="24"/>
        <w:szCs w:val="24"/>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 w15:restartNumberingAfterBreak="0">
    <w:nsid w:val="30D63E2D"/>
    <w:multiLevelType w:val="hybridMultilevel"/>
    <w:tmpl w:val="48EE47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F415049"/>
    <w:multiLevelType w:val="hybridMultilevel"/>
    <w:tmpl w:val="3FFC12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1800D51"/>
    <w:multiLevelType w:val="hybridMultilevel"/>
    <w:tmpl w:val="FB72F1BE"/>
    <w:lvl w:ilvl="0" w:tplc="A81CD804">
      <w:start w:val="1"/>
      <w:numFmt w:val="bullet"/>
      <w:lvlText w:val=""/>
      <w:lvlJc w:val="left"/>
      <w:pPr>
        <w:ind w:left="1440" w:hanging="360"/>
      </w:pPr>
      <w:rPr>
        <w:rFonts w:ascii="Symbol" w:hAnsi="Symbol" w:hint="default"/>
        <w:color w:val="auto"/>
        <w:sz w:val="22"/>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42697507"/>
    <w:multiLevelType w:val="hybridMultilevel"/>
    <w:tmpl w:val="160048E6"/>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EC47922"/>
    <w:multiLevelType w:val="hybridMultilevel"/>
    <w:tmpl w:val="AE7694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353692E"/>
    <w:multiLevelType w:val="hybridMultilevel"/>
    <w:tmpl w:val="983CC6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C697F48"/>
    <w:multiLevelType w:val="hybridMultilevel"/>
    <w:tmpl w:val="80C814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3B015D1"/>
    <w:multiLevelType w:val="hybridMultilevel"/>
    <w:tmpl w:val="31ECAEC4"/>
    <w:lvl w:ilvl="0" w:tplc="A81CD804">
      <w:start w:val="1"/>
      <w:numFmt w:val="bullet"/>
      <w:lvlText w:val=""/>
      <w:lvlJc w:val="left"/>
      <w:pPr>
        <w:ind w:left="1080" w:hanging="360"/>
      </w:pPr>
      <w:rPr>
        <w:rFonts w:ascii="Symbol" w:hAnsi="Symbol" w:hint="default"/>
        <w:color w:val="auto"/>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BBB2FA1"/>
    <w:multiLevelType w:val="hybridMultilevel"/>
    <w:tmpl w:val="6A221C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CFF38D2"/>
    <w:multiLevelType w:val="hybridMultilevel"/>
    <w:tmpl w:val="3398B1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21B3744"/>
    <w:multiLevelType w:val="hybridMultilevel"/>
    <w:tmpl w:val="18F03694"/>
    <w:lvl w:ilvl="0" w:tplc="FFFFFFFF">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CC972C1"/>
    <w:multiLevelType w:val="hybridMultilevel"/>
    <w:tmpl w:val="547469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12956698">
    <w:abstractNumId w:val="0"/>
    <w:lvlOverride w:ilvl="0">
      <w:startOverride w:val="7"/>
      <w:lvl w:ilvl="0">
        <w:start w:val="7"/>
        <w:numFmt w:val="decimal"/>
        <w:pStyle w:val="Quick1"/>
        <w:lvlText w:val="%1."/>
        <w:lvlJc w:val="left"/>
      </w:lvl>
    </w:lvlOverride>
  </w:num>
  <w:num w:numId="2" w16cid:durableId="1567379035">
    <w:abstractNumId w:val="2"/>
  </w:num>
  <w:num w:numId="3" w16cid:durableId="316228273">
    <w:abstractNumId w:val="4"/>
  </w:num>
  <w:num w:numId="4" w16cid:durableId="2011566265">
    <w:abstractNumId w:val="1"/>
  </w:num>
  <w:num w:numId="5" w16cid:durableId="1572233859">
    <w:abstractNumId w:val="11"/>
  </w:num>
  <w:num w:numId="6" w16cid:durableId="761754316">
    <w:abstractNumId w:val="7"/>
  </w:num>
  <w:num w:numId="7" w16cid:durableId="867987107">
    <w:abstractNumId w:val="3"/>
  </w:num>
  <w:num w:numId="8" w16cid:durableId="1170606052">
    <w:abstractNumId w:val="8"/>
  </w:num>
  <w:num w:numId="9" w16cid:durableId="1820003394">
    <w:abstractNumId w:val="9"/>
  </w:num>
  <w:num w:numId="10" w16cid:durableId="678577461">
    <w:abstractNumId w:val="5"/>
  </w:num>
  <w:num w:numId="11" w16cid:durableId="886725454">
    <w:abstractNumId w:val="12"/>
  </w:num>
  <w:num w:numId="12" w16cid:durableId="1765567767">
    <w:abstractNumId w:val="10"/>
  </w:num>
  <w:num w:numId="13" w16cid:durableId="1219777196">
    <w:abstractNumId w:val="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na Hotson">
    <w15:presenceInfo w15:providerId="AD" w15:userId="S::Janna.Hotson@drdh.org::1383a7b7-c842-4950-963d-22ab2cb9b8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A95"/>
    <w:rsid w:val="00001A58"/>
    <w:rsid w:val="00002F6D"/>
    <w:rsid w:val="00007214"/>
    <w:rsid w:val="00012531"/>
    <w:rsid w:val="00012D08"/>
    <w:rsid w:val="0001667D"/>
    <w:rsid w:val="00016E0C"/>
    <w:rsid w:val="00023DDE"/>
    <w:rsid w:val="00025B18"/>
    <w:rsid w:val="0003040C"/>
    <w:rsid w:val="000309C9"/>
    <w:rsid w:val="000318CD"/>
    <w:rsid w:val="0005054D"/>
    <w:rsid w:val="00051224"/>
    <w:rsid w:val="00051802"/>
    <w:rsid w:val="00051A21"/>
    <w:rsid w:val="00052D70"/>
    <w:rsid w:val="000601A9"/>
    <w:rsid w:val="00065A1B"/>
    <w:rsid w:val="0006741E"/>
    <w:rsid w:val="00070361"/>
    <w:rsid w:val="000705C7"/>
    <w:rsid w:val="00071761"/>
    <w:rsid w:val="00074A9F"/>
    <w:rsid w:val="00074AD7"/>
    <w:rsid w:val="00074B92"/>
    <w:rsid w:val="00074C7A"/>
    <w:rsid w:val="00074D4B"/>
    <w:rsid w:val="00077EF9"/>
    <w:rsid w:val="0008276D"/>
    <w:rsid w:val="00084067"/>
    <w:rsid w:val="000874B3"/>
    <w:rsid w:val="000932DB"/>
    <w:rsid w:val="00096BCE"/>
    <w:rsid w:val="000A5723"/>
    <w:rsid w:val="000B22AF"/>
    <w:rsid w:val="000B2330"/>
    <w:rsid w:val="000B4450"/>
    <w:rsid w:val="000B6FC6"/>
    <w:rsid w:val="000C21D7"/>
    <w:rsid w:val="000C28D4"/>
    <w:rsid w:val="000C2FDA"/>
    <w:rsid w:val="000D16FF"/>
    <w:rsid w:val="000D3138"/>
    <w:rsid w:val="000E32AF"/>
    <w:rsid w:val="000E5DB2"/>
    <w:rsid w:val="000E74BE"/>
    <w:rsid w:val="000F082A"/>
    <w:rsid w:val="000F3B2F"/>
    <w:rsid w:val="001058DE"/>
    <w:rsid w:val="00107A95"/>
    <w:rsid w:val="00113297"/>
    <w:rsid w:val="001176D1"/>
    <w:rsid w:val="001212A9"/>
    <w:rsid w:val="00123596"/>
    <w:rsid w:val="00125B29"/>
    <w:rsid w:val="00131FF1"/>
    <w:rsid w:val="00133643"/>
    <w:rsid w:val="00133C82"/>
    <w:rsid w:val="00135C78"/>
    <w:rsid w:val="0014288C"/>
    <w:rsid w:val="00142A28"/>
    <w:rsid w:val="0014470B"/>
    <w:rsid w:val="00145E26"/>
    <w:rsid w:val="001461A1"/>
    <w:rsid w:val="00147DE2"/>
    <w:rsid w:val="00150535"/>
    <w:rsid w:val="00150E71"/>
    <w:rsid w:val="0015592A"/>
    <w:rsid w:val="00157B99"/>
    <w:rsid w:val="00164FD8"/>
    <w:rsid w:val="00165107"/>
    <w:rsid w:val="00165BEF"/>
    <w:rsid w:val="00165E0A"/>
    <w:rsid w:val="00170EAD"/>
    <w:rsid w:val="00173485"/>
    <w:rsid w:val="001748FA"/>
    <w:rsid w:val="00177CF6"/>
    <w:rsid w:val="001808E4"/>
    <w:rsid w:val="00182781"/>
    <w:rsid w:val="0018664A"/>
    <w:rsid w:val="0019648A"/>
    <w:rsid w:val="00196595"/>
    <w:rsid w:val="001B0ACE"/>
    <w:rsid w:val="001B7821"/>
    <w:rsid w:val="001B7F2D"/>
    <w:rsid w:val="001C063F"/>
    <w:rsid w:val="001C758F"/>
    <w:rsid w:val="001D2757"/>
    <w:rsid w:val="001D31A8"/>
    <w:rsid w:val="001D3C4C"/>
    <w:rsid w:val="001E40BF"/>
    <w:rsid w:val="001E561B"/>
    <w:rsid w:val="001F57EF"/>
    <w:rsid w:val="002002B4"/>
    <w:rsid w:val="002012F1"/>
    <w:rsid w:val="002025CE"/>
    <w:rsid w:val="00204421"/>
    <w:rsid w:val="0020712E"/>
    <w:rsid w:val="002140AA"/>
    <w:rsid w:val="0021698F"/>
    <w:rsid w:val="00226F9E"/>
    <w:rsid w:val="00232273"/>
    <w:rsid w:val="00237298"/>
    <w:rsid w:val="00242419"/>
    <w:rsid w:val="002458CB"/>
    <w:rsid w:val="00255B34"/>
    <w:rsid w:val="00266E78"/>
    <w:rsid w:val="00272826"/>
    <w:rsid w:val="00276EC4"/>
    <w:rsid w:val="00281C7A"/>
    <w:rsid w:val="00290977"/>
    <w:rsid w:val="0029633A"/>
    <w:rsid w:val="002A124C"/>
    <w:rsid w:val="002A24C0"/>
    <w:rsid w:val="002A6F1B"/>
    <w:rsid w:val="002A7671"/>
    <w:rsid w:val="002B7829"/>
    <w:rsid w:val="002C0630"/>
    <w:rsid w:val="002C517A"/>
    <w:rsid w:val="002D77A5"/>
    <w:rsid w:val="002E0463"/>
    <w:rsid w:val="002E080A"/>
    <w:rsid w:val="002E6B0E"/>
    <w:rsid w:val="002F0E88"/>
    <w:rsid w:val="002F535B"/>
    <w:rsid w:val="002F6FF8"/>
    <w:rsid w:val="002F75F1"/>
    <w:rsid w:val="002F7ED1"/>
    <w:rsid w:val="00300530"/>
    <w:rsid w:val="003038BF"/>
    <w:rsid w:val="00314408"/>
    <w:rsid w:val="003161B2"/>
    <w:rsid w:val="00316C8E"/>
    <w:rsid w:val="003201EE"/>
    <w:rsid w:val="00320969"/>
    <w:rsid w:val="00335D12"/>
    <w:rsid w:val="00340D92"/>
    <w:rsid w:val="00343C0C"/>
    <w:rsid w:val="00346404"/>
    <w:rsid w:val="003517F5"/>
    <w:rsid w:val="00354B2F"/>
    <w:rsid w:val="00356EC6"/>
    <w:rsid w:val="00362848"/>
    <w:rsid w:val="00363305"/>
    <w:rsid w:val="0036665C"/>
    <w:rsid w:val="00367514"/>
    <w:rsid w:val="003707A1"/>
    <w:rsid w:val="003728AD"/>
    <w:rsid w:val="00380BA7"/>
    <w:rsid w:val="00385964"/>
    <w:rsid w:val="00387A2D"/>
    <w:rsid w:val="003912EE"/>
    <w:rsid w:val="00391CA0"/>
    <w:rsid w:val="00391D80"/>
    <w:rsid w:val="00392634"/>
    <w:rsid w:val="0039547C"/>
    <w:rsid w:val="003A3A41"/>
    <w:rsid w:val="003A6E9A"/>
    <w:rsid w:val="003B2AA7"/>
    <w:rsid w:val="003C2303"/>
    <w:rsid w:val="003C29F0"/>
    <w:rsid w:val="003C32BC"/>
    <w:rsid w:val="003C3AD1"/>
    <w:rsid w:val="003C54AA"/>
    <w:rsid w:val="003C64BB"/>
    <w:rsid w:val="003D1F87"/>
    <w:rsid w:val="003D7577"/>
    <w:rsid w:val="003E0798"/>
    <w:rsid w:val="003E3C65"/>
    <w:rsid w:val="003E5230"/>
    <w:rsid w:val="003E5C45"/>
    <w:rsid w:val="003F4631"/>
    <w:rsid w:val="003F68DA"/>
    <w:rsid w:val="003F6B7B"/>
    <w:rsid w:val="0040042D"/>
    <w:rsid w:val="004019E1"/>
    <w:rsid w:val="0040219D"/>
    <w:rsid w:val="00410E79"/>
    <w:rsid w:val="0041240E"/>
    <w:rsid w:val="00413518"/>
    <w:rsid w:val="00414907"/>
    <w:rsid w:val="0041769C"/>
    <w:rsid w:val="004219D9"/>
    <w:rsid w:val="00421A32"/>
    <w:rsid w:val="004261F4"/>
    <w:rsid w:val="00432D98"/>
    <w:rsid w:val="00442650"/>
    <w:rsid w:val="004535F2"/>
    <w:rsid w:val="00454BCC"/>
    <w:rsid w:val="0045716A"/>
    <w:rsid w:val="00457A22"/>
    <w:rsid w:val="004640C3"/>
    <w:rsid w:val="004642FA"/>
    <w:rsid w:val="004654AF"/>
    <w:rsid w:val="004664B1"/>
    <w:rsid w:val="004711C9"/>
    <w:rsid w:val="00472214"/>
    <w:rsid w:val="00472AF3"/>
    <w:rsid w:val="004738BB"/>
    <w:rsid w:val="0049046D"/>
    <w:rsid w:val="00494B9E"/>
    <w:rsid w:val="00495C40"/>
    <w:rsid w:val="00496D00"/>
    <w:rsid w:val="00497BB1"/>
    <w:rsid w:val="004A246A"/>
    <w:rsid w:val="004B1F5C"/>
    <w:rsid w:val="004B4053"/>
    <w:rsid w:val="004B44D7"/>
    <w:rsid w:val="004C02E4"/>
    <w:rsid w:val="004C0601"/>
    <w:rsid w:val="004D41FE"/>
    <w:rsid w:val="004D5132"/>
    <w:rsid w:val="004D5D03"/>
    <w:rsid w:val="004E4E95"/>
    <w:rsid w:val="004E6BAC"/>
    <w:rsid w:val="004F3D9A"/>
    <w:rsid w:val="004F556A"/>
    <w:rsid w:val="004F55DF"/>
    <w:rsid w:val="004F5994"/>
    <w:rsid w:val="004F7FDF"/>
    <w:rsid w:val="00500F4B"/>
    <w:rsid w:val="00501800"/>
    <w:rsid w:val="00502786"/>
    <w:rsid w:val="005119DB"/>
    <w:rsid w:val="00522787"/>
    <w:rsid w:val="00527224"/>
    <w:rsid w:val="00533168"/>
    <w:rsid w:val="00534933"/>
    <w:rsid w:val="005367E5"/>
    <w:rsid w:val="00537C78"/>
    <w:rsid w:val="005405A6"/>
    <w:rsid w:val="005414B6"/>
    <w:rsid w:val="005416BC"/>
    <w:rsid w:val="00544BC7"/>
    <w:rsid w:val="00552643"/>
    <w:rsid w:val="00556948"/>
    <w:rsid w:val="005610C2"/>
    <w:rsid w:val="005611E2"/>
    <w:rsid w:val="005665BC"/>
    <w:rsid w:val="00573511"/>
    <w:rsid w:val="005755C3"/>
    <w:rsid w:val="00581C80"/>
    <w:rsid w:val="00583B70"/>
    <w:rsid w:val="00587D2D"/>
    <w:rsid w:val="0059307C"/>
    <w:rsid w:val="00593D94"/>
    <w:rsid w:val="005A033E"/>
    <w:rsid w:val="005A253F"/>
    <w:rsid w:val="005A75A8"/>
    <w:rsid w:val="005B14DF"/>
    <w:rsid w:val="005B6F75"/>
    <w:rsid w:val="005C2DD0"/>
    <w:rsid w:val="005C2EB1"/>
    <w:rsid w:val="005C4C97"/>
    <w:rsid w:val="005C7C68"/>
    <w:rsid w:val="005E171F"/>
    <w:rsid w:val="005E3C7E"/>
    <w:rsid w:val="005E7F3B"/>
    <w:rsid w:val="005F336A"/>
    <w:rsid w:val="005F7BB2"/>
    <w:rsid w:val="0060395E"/>
    <w:rsid w:val="00603F4E"/>
    <w:rsid w:val="00607750"/>
    <w:rsid w:val="0061145C"/>
    <w:rsid w:val="0061305D"/>
    <w:rsid w:val="00615039"/>
    <w:rsid w:val="00631306"/>
    <w:rsid w:val="00637628"/>
    <w:rsid w:val="006379E6"/>
    <w:rsid w:val="00641AA9"/>
    <w:rsid w:val="00652CC2"/>
    <w:rsid w:val="006537D1"/>
    <w:rsid w:val="00655119"/>
    <w:rsid w:val="0066122C"/>
    <w:rsid w:val="00663C42"/>
    <w:rsid w:val="00663EBD"/>
    <w:rsid w:val="0066554A"/>
    <w:rsid w:val="00674540"/>
    <w:rsid w:val="00675156"/>
    <w:rsid w:val="00677753"/>
    <w:rsid w:val="006801C8"/>
    <w:rsid w:val="00682D7D"/>
    <w:rsid w:val="0068459C"/>
    <w:rsid w:val="00685E21"/>
    <w:rsid w:val="006876C0"/>
    <w:rsid w:val="0068795A"/>
    <w:rsid w:val="006A7808"/>
    <w:rsid w:val="006B00A2"/>
    <w:rsid w:val="006B024B"/>
    <w:rsid w:val="006B0E39"/>
    <w:rsid w:val="006B2009"/>
    <w:rsid w:val="006B6DEA"/>
    <w:rsid w:val="006C00ED"/>
    <w:rsid w:val="006D16EF"/>
    <w:rsid w:val="006D3B9C"/>
    <w:rsid w:val="006D3BBC"/>
    <w:rsid w:val="006D5543"/>
    <w:rsid w:val="006D5859"/>
    <w:rsid w:val="006D6DC5"/>
    <w:rsid w:val="006E2B10"/>
    <w:rsid w:val="006F3BCA"/>
    <w:rsid w:val="006F58D7"/>
    <w:rsid w:val="007037AD"/>
    <w:rsid w:val="007114AB"/>
    <w:rsid w:val="0071177A"/>
    <w:rsid w:val="0071425E"/>
    <w:rsid w:val="007146D0"/>
    <w:rsid w:val="00720555"/>
    <w:rsid w:val="007313CD"/>
    <w:rsid w:val="007404EA"/>
    <w:rsid w:val="007439F4"/>
    <w:rsid w:val="00745342"/>
    <w:rsid w:val="00753409"/>
    <w:rsid w:val="007539EF"/>
    <w:rsid w:val="007542D1"/>
    <w:rsid w:val="00757FF7"/>
    <w:rsid w:val="00761AD8"/>
    <w:rsid w:val="007623CB"/>
    <w:rsid w:val="00766640"/>
    <w:rsid w:val="00773720"/>
    <w:rsid w:val="00774693"/>
    <w:rsid w:val="00777A4D"/>
    <w:rsid w:val="00780455"/>
    <w:rsid w:val="00784079"/>
    <w:rsid w:val="00790637"/>
    <w:rsid w:val="00791D94"/>
    <w:rsid w:val="00793323"/>
    <w:rsid w:val="00794FB0"/>
    <w:rsid w:val="007B4E5C"/>
    <w:rsid w:val="007B6C89"/>
    <w:rsid w:val="007B769B"/>
    <w:rsid w:val="007B77A3"/>
    <w:rsid w:val="007B7D11"/>
    <w:rsid w:val="007C0E29"/>
    <w:rsid w:val="007C2312"/>
    <w:rsid w:val="007C3FD3"/>
    <w:rsid w:val="007C4479"/>
    <w:rsid w:val="007C7995"/>
    <w:rsid w:val="007C7F0C"/>
    <w:rsid w:val="007D5042"/>
    <w:rsid w:val="007E40AA"/>
    <w:rsid w:val="007E7903"/>
    <w:rsid w:val="007E7E5F"/>
    <w:rsid w:val="007F6FCA"/>
    <w:rsid w:val="008020D6"/>
    <w:rsid w:val="00802323"/>
    <w:rsid w:val="00805807"/>
    <w:rsid w:val="0080611A"/>
    <w:rsid w:val="008070A3"/>
    <w:rsid w:val="008103E4"/>
    <w:rsid w:val="00812972"/>
    <w:rsid w:val="00812F31"/>
    <w:rsid w:val="00822B81"/>
    <w:rsid w:val="008234A9"/>
    <w:rsid w:val="00825BE0"/>
    <w:rsid w:val="0082618A"/>
    <w:rsid w:val="008323A7"/>
    <w:rsid w:val="008331B6"/>
    <w:rsid w:val="0083549C"/>
    <w:rsid w:val="0084076E"/>
    <w:rsid w:val="00844546"/>
    <w:rsid w:val="0085085D"/>
    <w:rsid w:val="00854898"/>
    <w:rsid w:val="00867C05"/>
    <w:rsid w:val="00884214"/>
    <w:rsid w:val="008842C2"/>
    <w:rsid w:val="008851CE"/>
    <w:rsid w:val="0089203B"/>
    <w:rsid w:val="008A1433"/>
    <w:rsid w:val="008A4F6F"/>
    <w:rsid w:val="008A5056"/>
    <w:rsid w:val="008A56A8"/>
    <w:rsid w:val="008B152A"/>
    <w:rsid w:val="008B177F"/>
    <w:rsid w:val="008B5A0D"/>
    <w:rsid w:val="008C2378"/>
    <w:rsid w:val="008C3E16"/>
    <w:rsid w:val="008C5E34"/>
    <w:rsid w:val="008E0EB2"/>
    <w:rsid w:val="008E12E9"/>
    <w:rsid w:val="008E2313"/>
    <w:rsid w:val="008E6A59"/>
    <w:rsid w:val="008F05DA"/>
    <w:rsid w:val="008F1605"/>
    <w:rsid w:val="008F1F3A"/>
    <w:rsid w:val="008F220F"/>
    <w:rsid w:val="008F7BD4"/>
    <w:rsid w:val="00903981"/>
    <w:rsid w:val="00907B2C"/>
    <w:rsid w:val="00911CA5"/>
    <w:rsid w:val="009123F5"/>
    <w:rsid w:val="0091421B"/>
    <w:rsid w:val="00920909"/>
    <w:rsid w:val="00924C9E"/>
    <w:rsid w:val="00925604"/>
    <w:rsid w:val="00925FE4"/>
    <w:rsid w:val="00926CE7"/>
    <w:rsid w:val="00930B59"/>
    <w:rsid w:val="00931F87"/>
    <w:rsid w:val="00932088"/>
    <w:rsid w:val="00943676"/>
    <w:rsid w:val="00953B51"/>
    <w:rsid w:val="00956EDD"/>
    <w:rsid w:val="00957BC6"/>
    <w:rsid w:val="00960116"/>
    <w:rsid w:val="0096145B"/>
    <w:rsid w:val="00963DCD"/>
    <w:rsid w:val="0097040B"/>
    <w:rsid w:val="009768B1"/>
    <w:rsid w:val="00976D1E"/>
    <w:rsid w:val="00981337"/>
    <w:rsid w:val="00983C2B"/>
    <w:rsid w:val="00985FC5"/>
    <w:rsid w:val="00987FB0"/>
    <w:rsid w:val="009902C2"/>
    <w:rsid w:val="00997EEA"/>
    <w:rsid w:val="009A5EE3"/>
    <w:rsid w:val="009A63E6"/>
    <w:rsid w:val="009B1DE1"/>
    <w:rsid w:val="009B2C89"/>
    <w:rsid w:val="009B63CF"/>
    <w:rsid w:val="009B751F"/>
    <w:rsid w:val="009B78A9"/>
    <w:rsid w:val="009C4534"/>
    <w:rsid w:val="009C7569"/>
    <w:rsid w:val="009D36A9"/>
    <w:rsid w:val="009E6AD2"/>
    <w:rsid w:val="009E7B86"/>
    <w:rsid w:val="009F7218"/>
    <w:rsid w:val="00A06553"/>
    <w:rsid w:val="00A10A40"/>
    <w:rsid w:val="00A10F9E"/>
    <w:rsid w:val="00A11908"/>
    <w:rsid w:val="00A13566"/>
    <w:rsid w:val="00A16865"/>
    <w:rsid w:val="00A30239"/>
    <w:rsid w:val="00A33FB6"/>
    <w:rsid w:val="00A43997"/>
    <w:rsid w:val="00A45DB3"/>
    <w:rsid w:val="00A46052"/>
    <w:rsid w:val="00A47679"/>
    <w:rsid w:val="00A4796E"/>
    <w:rsid w:val="00A50EF7"/>
    <w:rsid w:val="00A73C54"/>
    <w:rsid w:val="00A808DA"/>
    <w:rsid w:val="00A826FC"/>
    <w:rsid w:val="00A82F68"/>
    <w:rsid w:val="00A86BCB"/>
    <w:rsid w:val="00A878AC"/>
    <w:rsid w:val="00A97306"/>
    <w:rsid w:val="00AA11E1"/>
    <w:rsid w:val="00AA1CD1"/>
    <w:rsid w:val="00AA33CC"/>
    <w:rsid w:val="00AA590F"/>
    <w:rsid w:val="00AA68A8"/>
    <w:rsid w:val="00AB089C"/>
    <w:rsid w:val="00AB6EEE"/>
    <w:rsid w:val="00AC27B7"/>
    <w:rsid w:val="00AC2D81"/>
    <w:rsid w:val="00AC7BDC"/>
    <w:rsid w:val="00AC7BDD"/>
    <w:rsid w:val="00AE125B"/>
    <w:rsid w:val="00AE2155"/>
    <w:rsid w:val="00AE3D1B"/>
    <w:rsid w:val="00AE5E48"/>
    <w:rsid w:val="00AE6591"/>
    <w:rsid w:val="00AF0210"/>
    <w:rsid w:val="00AF4CB7"/>
    <w:rsid w:val="00B0247B"/>
    <w:rsid w:val="00B108B5"/>
    <w:rsid w:val="00B12A4D"/>
    <w:rsid w:val="00B13F6A"/>
    <w:rsid w:val="00B1538A"/>
    <w:rsid w:val="00B1554D"/>
    <w:rsid w:val="00B15692"/>
    <w:rsid w:val="00B159A4"/>
    <w:rsid w:val="00B16CFC"/>
    <w:rsid w:val="00B20767"/>
    <w:rsid w:val="00B236D4"/>
    <w:rsid w:val="00B2526E"/>
    <w:rsid w:val="00B30101"/>
    <w:rsid w:val="00B312C1"/>
    <w:rsid w:val="00B33687"/>
    <w:rsid w:val="00B34E57"/>
    <w:rsid w:val="00B34EC6"/>
    <w:rsid w:val="00B36E2E"/>
    <w:rsid w:val="00B40AC7"/>
    <w:rsid w:val="00B419B8"/>
    <w:rsid w:val="00B46EC6"/>
    <w:rsid w:val="00B506A0"/>
    <w:rsid w:val="00B52193"/>
    <w:rsid w:val="00B56DE5"/>
    <w:rsid w:val="00B609E8"/>
    <w:rsid w:val="00B612FE"/>
    <w:rsid w:val="00B6148F"/>
    <w:rsid w:val="00B65313"/>
    <w:rsid w:val="00B6767C"/>
    <w:rsid w:val="00B709E1"/>
    <w:rsid w:val="00B711BB"/>
    <w:rsid w:val="00B728D8"/>
    <w:rsid w:val="00B7483F"/>
    <w:rsid w:val="00B776F2"/>
    <w:rsid w:val="00B861ED"/>
    <w:rsid w:val="00B909DB"/>
    <w:rsid w:val="00B93D54"/>
    <w:rsid w:val="00BA0894"/>
    <w:rsid w:val="00BA1773"/>
    <w:rsid w:val="00BA46C2"/>
    <w:rsid w:val="00BA5E47"/>
    <w:rsid w:val="00BA7740"/>
    <w:rsid w:val="00BB01F3"/>
    <w:rsid w:val="00BB3D7F"/>
    <w:rsid w:val="00BC0F3E"/>
    <w:rsid w:val="00BC3C16"/>
    <w:rsid w:val="00BC7CF5"/>
    <w:rsid w:val="00BD2B0C"/>
    <w:rsid w:val="00BE1DBE"/>
    <w:rsid w:val="00BE7138"/>
    <w:rsid w:val="00BF0E02"/>
    <w:rsid w:val="00BF3051"/>
    <w:rsid w:val="00BF4B14"/>
    <w:rsid w:val="00C04BA3"/>
    <w:rsid w:val="00C069CC"/>
    <w:rsid w:val="00C07FD2"/>
    <w:rsid w:val="00C11350"/>
    <w:rsid w:val="00C114D4"/>
    <w:rsid w:val="00C14B7F"/>
    <w:rsid w:val="00C15E74"/>
    <w:rsid w:val="00C17653"/>
    <w:rsid w:val="00C2533B"/>
    <w:rsid w:val="00C30BC4"/>
    <w:rsid w:val="00C32208"/>
    <w:rsid w:val="00C32958"/>
    <w:rsid w:val="00C3409E"/>
    <w:rsid w:val="00C35537"/>
    <w:rsid w:val="00C355D5"/>
    <w:rsid w:val="00C36E61"/>
    <w:rsid w:val="00C42BA1"/>
    <w:rsid w:val="00C53D94"/>
    <w:rsid w:val="00C65B50"/>
    <w:rsid w:val="00C72B86"/>
    <w:rsid w:val="00C76B9A"/>
    <w:rsid w:val="00C81541"/>
    <w:rsid w:val="00C8738D"/>
    <w:rsid w:val="00C900F4"/>
    <w:rsid w:val="00C936DE"/>
    <w:rsid w:val="00C958AA"/>
    <w:rsid w:val="00C96527"/>
    <w:rsid w:val="00CA0648"/>
    <w:rsid w:val="00CA1662"/>
    <w:rsid w:val="00CA6132"/>
    <w:rsid w:val="00CB0190"/>
    <w:rsid w:val="00CB3B79"/>
    <w:rsid w:val="00CB7458"/>
    <w:rsid w:val="00CB7485"/>
    <w:rsid w:val="00CC141D"/>
    <w:rsid w:val="00CC5A2A"/>
    <w:rsid w:val="00CC7B8F"/>
    <w:rsid w:val="00CD08B7"/>
    <w:rsid w:val="00CD7775"/>
    <w:rsid w:val="00CE1A1B"/>
    <w:rsid w:val="00CE3120"/>
    <w:rsid w:val="00CF4F6E"/>
    <w:rsid w:val="00D04810"/>
    <w:rsid w:val="00D04D1C"/>
    <w:rsid w:val="00D14425"/>
    <w:rsid w:val="00D148C9"/>
    <w:rsid w:val="00D14AC1"/>
    <w:rsid w:val="00D14B8C"/>
    <w:rsid w:val="00D163A6"/>
    <w:rsid w:val="00D16A95"/>
    <w:rsid w:val="00D20A98"/>
    <w:rsid w:val="00D20FC6"/>
    <w:rsid w:val="00D21BFB"/>
    <w:rsid w:val="00D22C89"/>
    <w:rsid w:val="00D257BF"/>
    <w:rsid w:val="00D3049A"/>
    <w:rsid w:val="00D35451"/>
    <w:rsid w:val="00D414E8"/>
    <w:rsid w:val="00D47E2C"/>
    <w:rsid w:val="00D50DA6"/>
    <w:rsid w:val="00D62E5F"/>
    <w:rsid w:val="00D67A33"/>
    <w:rsid w:val="00D67B86"/>
    <w:rsid w:val="00D74983"/>
    <w:rsid w:val="00D82410"/>
    <w:rsid w:val="00D843C4"/>
    <w:rsid w:val="00D844A7"/>
    <w:rsid w:val="00DA5DF1"/>
    <w:rsid w:val="00DB1564"/>
    <w:rsid w:val="00DB2ED2"/>
    <w:rsid w:val="00DC3B5F"/>
    <w:rsid w:val="00DC68E5"/>
    <w:rsid w:val="00DD1BC9"/>
    <w:rsid w:val="00DD3378"/>
    <w:rsid w:val="00DD3604"/>
    <w:rsid w:val="00DD4D38"/>
    <w:rsid w:val="00DD7450"/>
    <w:rsid w:val="00DE3D79"/>
    <w:rsid w:val="00DE6632"/>
    <w:rsid w:val="00DF199E"/>
    <w:rsid w:val="00DF27C8"/>
    <w:rsid w:val="00DF3CF8"/>
    <w:rsid w:val="00DF4607"/>
    <w:rsid w:val="00DF5EE8"/>
    <w:rsid w:val="00E02F97"/>
    <w:rsid w:val="00E04BD9"/>
    <w:rsid w:val="00E12459"/>
    <w:rsid w:val="00E16B1A"/>
    <w:rsid w:val="00E17963"/>
    <w:rsid w:val="00E20A46"/>
    <w:rsid w:val="00E20B40"/>
    <w:rsid w:val="00E22311"/>
    <w:rsid w:val="00E22959"/>
    <w:rsid w:val="00E234CF"/>
    <w:rsid w:val="00E23BBC"/>
    <w:rsid w:val="00E327AF"/>
    <w:rsid w:val="00E3778C"/>
    <w:rsid w:val="00E40D41"/>
    <w:rsid w:val="00E51B33"/>
    <w:rsid w:val="00E6252D"/>
    <w:rsid w:val="00E631DD"/>
    <w:rsid w:val="00E727ED"/>
    <w:rsid w:val="00E728DA"/>
    <w:rsid w:val="00E73E01"/>
    <w:rsid w:val="00E76162"/>
    <w:rsid w:val="00E81911"/>
    <w:rsid w:val="00E92113"/>
    <w:rsid w:val="00E9666A"/>
    <w:rsid w:val="00EA00ED"/>
    <w:rsid w:val="00EA2C42"/>
    <w:rsid w:val="00EB3F06"/>
    <w:rsid w:val="00EB4C2F"/>
    <w:rsid w:val="00EC3A64"/>
    <w:rsid w:val="00EC4D3F"/>
    <w:rsid w:val="00EC5473"/>
    <w:rsid w:val="00ED1002"/>
    <w:rsid w:val="00ED72C1"/>
    <w:rsid w:val="00EE086E"/>
    <w:rsid w:val="00EE5F5E"/>
    <w:rsid w:val="00EE66E9"/>
    <w:rsid w:val="00EE730D"/>
    <w:rsid w:val="00EF39FC"/>
    <w:rsid w:val="00EF6F08"/>
    <w:rsid w:val="00F019F8"/>
    <w:rsid w:val="00F076E4"/>
    <w:rsid w:val="00F10179"/>
    <w:rsid w:val="00F20176"/>
    <w:rsid w:val="00F21B23"/>
    <w:rsid w:val="00F21B6B"/>
    <w:rsid w:val="00F24F71"/>
    <w:rsid w:val="00F2724A"/>
    <w:rsid w:val="00F32CB1"/>
    <w:rsid w:val="00F41B89"/>
    <w:rsid w:val="00F428E5"/>
    <w:rsid w:val="00F470DD"/>
    <w:rsid w:val="00F47E09"/>
    <w:rsid w:val="00F53F3D"/>
    <w:rsid w:val="00F560E8"/>
    <w:rsid w:val="00F56245"/>
    <w:rsid w:val="00F60490"/>
    <w:rsid w:val="00F604DE"/>
    <w:rsid w:val="00F610D4"/>
    <w:rsid w:val="00F61759"/>
    <w:rsid w:val="00F64F50"/>
    <w:rsid w:val="00F66F8E"/>
    <w:rsid w:val="00F71E10"/>
    <w:rsid w:val="00F72158"/>
    <w:rsid w:val="00F729F6"/>
    <w:rsid w:val="00F7403B"/>
    <w:rsid w:val="00F741B5"/>
    <w:rsid w:val="00F805F5"/>
    <w:rsid w:val="00F87765"/>
    <w:rsid w:val="00F92922"/>
    <w:rsid w:val="00FA0E2E"/>
    <w:rsid w:val="00FA50CA"/>
    <w:rsid w:val="00FC40B0"/>
    <w:rsid w:val="00FC633B"/>
    <w:rsid w:val="00FC6D1E"/>
    <w:rsid w:val="00FC7C44"/>
    <w:rsid w:val="00FD0C27"/>
    <w:rsid w:val="00FD7455"/>
    <w:rsid w:val="00FD77FA"/>
    <w:rsid w:val="00FE2556"/>
    <w:rsid w:val="00FE616A"/>
    <w:rsid w:val="00FF6B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5A7AA"/>
  <w15:chartTrackingRefBased/>
  <w15:docId w15:val="{46725443-8054-40F8-97AC-A09C591D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6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QO_List_Paragraph,Dot pt,Liste 1,List Paragraph1,cS List Paragraph,Colorful List - Accent 11,Medium Grid 1 - Accent 21,Light Grid - Accent 31,List Paragraph11,Bullet List,FooterText,numbered,Paragraphe de liste1,Bulletr List Paragraph,列出"/>
    <w:basedOn w:val="Normal"/>
    <w:link w:val="ListParagraphChar"/>
    <w:uiPriority w:val="34"/>
    <w:qFormat/>
    <w:rsid w:val="00D16A95"/>
    <w:pPr>
      <w:ind w:left="720"/>
      <w:contextualSpacing/>
    </w:pPr>
    <w:rPr>
      <w:rFonts w:ascii="Comic Sans MS" w:eastAsia="Times New Roman" w:hAnsi="Comic Sans MS" w:cs="Times New Roman"/>
      <w:sz w:val="20"/>
      <w:szCs w:val="20"/>
      <w:lang w:val="en-US"/>
    </w:rPr>
  </w:style>
  <w:style w:type="character" w:customStyle="1" w:styleId="ListParagraphChar">
    <w:name w:val="List Paragraph Char"/>
    <w:aliases w:val="HQO_List_Paragraph Char,Dot pt Char,Liste 1 Char,List Paragraph1 Char,cS List Paragraph Char,Colorful List - Accent 11 Char,Medium Grid 1 - Accent 21 Char,Light Grid - Accent 31 Char,List Paragraph11 Char,Bullet List Char,列出 Char"/>
    <w:link w:val="ListParagraph"/>
    <w:uiPriority w:val="34"/>
    <w:locked/>
    <w:rsid w:val="00D16A95"/>
    <w:rPr>
      <w:rFonts w:ascii="Comic Sans MS" w:eastAsia="Times New Roman" w:hAnsi="Comic Sans MS" w:cs="Times New Roman"/>
      <w:sz w:val="20"/>
      <w:szCs w:val="20"/>
      <w:lang w:val="en-US"/>
    </w:rPr>
  </w:style>
  <w:style w:type="paragraph" w:styleId="Title">
    <w:name w:val="Title"/>
    <w:basedOn w:val="Normal"/>
    <w:link w:val="TitleChar"/>
    <w:qFormat/>
    <w:rsid w:val="001B7F2D"/>
    <w:pPr>
      <w:widowControl w:val="0"/>
      <w:tabs>
        <w:tab w:val="center" w:pos="4680"/>
      </w:tabs>
      <w:autoSpaceDE w:val="0"/>
      <w:autoSpaceDN w:val="0"/>
      <w:adjustRightInd w:val="0"/>
      <w:ind w:firstLine="2880"/>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1B7F2D"/>
    <w:rPr>
      <w:rFonts w:ascii="Times New Roman" w:eastAsia="Times New Roman" w:hAnsi="Times New Roman" w:cs="Times New Roman"/>
      <w:b/>
      <w:bCs/>
      <w:sz w:val="24"/>
      <w:szCs w:val="24"/>
      <w:lang w:val="en-US"/>
    </w:rPr>
  </w:style>
  <w:style w:type="paragraph" w:customStyle="1" w:styleId="Quick1">
    <w:name w:val="Quick 1."/>
    <w:basedOn w:val="Normal"/>
    <w:qFormat/>
    <w:rsid w:val="001B7F2D"/>
    <w:pPr>
      <w:widowControl w:val="0"/>
      <w:numPr>
        <w:numId w:val="1"/>
      </w:numPr>
      <w:autoSpaceDE w:val="0"/>
      <w:autoSpaceDN w:val="0"/>
      <w:adjustRightInd w:val="0"/>
    </w:pPr>
    <w:rPr>
      <w:rFonts w:ascii="Courier" w:eastAsia="Times New Roman" w:hAnsi="Courier" w:cs="Times New Roman"/>
      <w:sz w:val="20"/>
      <w:szCs w:val="24"/>
      <w:lang w:val="en-US"/>
    </w:rPr>
  </w:style>
  <w:style w:type="paragraph" w:styleId="BalloonText">
    <w:name w:val="Balloon Text"/>
    <w:basedOn w:val="Normal"/>
    <w:link w:val="BalloonTextChar"/>
    <w:uiPriority w:val="99"/>
    <w:semiHidden/>
    <w:rsid w:val="00356EC6"/>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356EC6"/>
    <w:rPr>
      <w:rFonts w:ascii="Tahoma" w:eastAsia="Times New Roman" w:hAnsi="Tahoma" w:cs="Tahoma"/>
      <w:sz w:val="16"/>
      <w:szCs w:val="16"/>
      <w:lang w:val="en-US"/>
    </w:rPr>
  </w:style>
  <w:style w:type="paragraph" w:styleId="BodyText">
    <w:name w:val="Body Text"/>
    <w:basedOn w:val="Normal"/>
    <w:link w:val="BodyTextChar"/>
    <w:rsid w:val="005A033E"/>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5A033E"/>
    <w:rPr>
      <w:rFonts w:ascii="Times New Roman" w:eastAsia="Times New Roman" w:hAnsi="Times New Roman" w:cs="Times New Roman"/>
      <w:sz w:val="24"/>
      <w:szCs w:val="20"/>
      <w:lang w:val="en-US"/>
    </w:rPr>
  </w:style>
  <w:style w:type="paragraph" w:customStyle="1" w:styleId="TableParagraph">
    <w:name w:val="Table Paragraph"/>
    <w:basedOn w:val="Normal"/>
    <w:uiPriority w:val="1"/>
    <w:qFormat/>
    <w:rsid w:val="0003040C"/>
    <w:pPr>
      <w:widowControl w:val="0"/>
      <w:autoSpaceDE w:val="0"/>
      <w:autoSpaceDN w:val="0"/>
    </w:pPr>
    <w:rPr>
      <w:rFonts w:eastAsia="Arial" w:cs="Arial"/>
      <w:lang w:val="en-US"/>
    </w:rPr>
  </w:style>
  <w:style w:type="character" w:styleId="Hyperlink">
    <w:name w:val="Hyperlink"/>
    <w:rsid w:val="00DD4D38"/>
    <w:rPr>
      <w:color w:val="0000FF"/>
      <w:u w:val="single"/>
    </w:rPr>
  </w:style>
  <w:style w:type="paragraph" w:customStyle="1" w:styleId="Default">
    <w:name w:val="Default"/>
    <w:rsid w:val="00410E79"/>
    <w:pPr>
      <w:autoSpaceDE w:val="0"/>
      <w:autoSpaceDN w:val="0"/>
      <w:adjustRightInd w:val="0"/>
    </w:pPr>
    <w:rPr>
      <w:rFonts w:cs="Arial"/>
      <w:color w:val="000000"/>
      <w:sz w:val="24"/>
      <w:szCs w:val="24"/>
    </w:rPr>
  </w:style>
  <w:style w:type="paragraph" w:styleId="Header">
    <w:name w:val="header"/>
    <w:basedOn w:val="Normal"/>
    <w:link w:val="HeaderChar"/>
    <w:uiPriority w:val="99"/>
    <w:unhideWhenUsed/>
    <w:rsid w:val="00DF199E"/>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DF199E"/>
    <w:rPr>
      <w:rFonts w:asciiTheme="minorHAnsi" w:hAnsiTheme="minorHAnsi"/>
    </w:rPr>
  </w:style>
  <w:style w:type="paragraph" w:styleId="Revision">
    <w:name w:val="Revision"/>
    <w:hidden/>
    <w:uiPriority w:val="99"/>
    <w:semiHidden/>
    <w:rsid w:val="00932088"/>
  </w:style>
  <w:style w:type="character" w:styleId="CommentReference">
    <w:name w:val="annotation reference"/>
    <w:basedOn w:val="DefaultParagraphFont"/>
    <w:uiPriority w:val="99"/>
    <w:semiHidden/>
    <w:unhideWhenUsed/>
    <w:rsid w:val="005C4C97"/>
    <w:rPr>
      <w:sz w:val="16"/>
      <w:szCs w:val="16"/>
    </w:rPr>
  </w:style>
  <w:style w:type="paragraph" w:styleId="CommentText">
    <w:name w:val="annotation text"/>
    <w:basedOn w:val="Normal"/>
    <w:link w:val="CommentTextChar"/>
    <w:uiPriority w:val="99"/>
    <w:unhideWhenUsed/>
    <w:rsid w:val="005C4C97"/>
    <w:rPr>
      <w:rFonts w:asciiTheme="minorHAnsi" w:hAnsiTheme="minorHAnsi"/>
      <w:sz w:val="20"/>
      <w:szCs w:val="20"/>
    </w:rPr>
  </w:style>
  <w:style w:type="character" w:customStyle="1" w:styleId="CommentTextChar">
    <w:name w:val="Comment Text Char"/>
    <w:basedOn w:val="DefaultParagraphFont"/>
    <w:link w:val="CommentText"/>
    <w:uiPriority w:val="99"/>
    <w:rsid w:val="005C4C97"/>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97139">
      <w:bodyDiv w:val="1"/>
      <w:marLeft w:val="0"/>
      <w:marRight w:val="0"/>
      <w:marTop w:val="0"/>
      <w:marBottom w:val="0"/>
      <w:divBdr>
        <w:top w:val="none" w:sz="0" w:space="0" w:color="auto"/>
        <w:left w:val="none" w:sz="0" w:space="0" w:color="auto"/>
        <w:bottom w:val="none" w:sz="0" w:space="0" w:color="auto"/>
        <w:right w:val="none" w:sz="0" w:space="0" w:color="auto"/>
      </w:divBdr>
    </w:div>
    <w:div w:id="438987789">
      <w:bodyDiv w:val="1"/>
      <w:marLeft w:val="0"/>
      <w:marRight w:val="0"/>
      <w:marTop w:val="0"/>
      <w:marBottom w:val="0"/>
      <w:divBdr>
        <w:top w:val="none" w:sz="0" w:space="0" w:color="auto"/>
        <w:left w:val="none" w:sz="0" w:space="0" w:color="auto"/>
        <w:bottom w:val="none" w:sz="0" w:space="0" w:color="auto"/>
        <w:right w:val="none" w:sz="0" w:space="0" w:color="auto"/>
      </w:divBdr>
    </w:div>
    <w:div w:id="656347103">
      <w:bodyDiv w:val="1"/>
      <w:marLeft w:val="0"/>
      <w:marRight w:val="0"/>
      <w:marTop w:val="0"/>
      <w:marBottom w:val="0"/>
      <w:divBdr>
        <w:top w:val="none" w:sz="0" w:space="0" w:color="auto"/>
        <w:left w:val="none" w:sz="0" w:space="0" w:color="auto"/>
        <w:bottom w:val="none" w:sz="0" w:space="0" w:color="auto"/>
        <w:right w:val="none" w:sz="0" w:space="0" w:color="auto"/>
      </w:divBdr>
    </w:div>
    <w:div w:id="678124491">
      <w:bodyDiv w:val="1"/>
      <w:marLeft w:val="0"/>
      <w:marRight w:val="0"/>
      <w:marTop w:val="0"/>
      <w:marBottom w:val="0"/>
      <w:divBdr>
        <w:top w:val="none" w:sz="0" w:space="0" w:color="auto"/>
        <w:left w:val="none" w:sz="0" w:space="0" w:color="auto"/>
        <w:bottom w:val="none" w:sz="0" w:space="0" w:color="auto"/>
        <w:right w:val="none" w:sz="0" w:space="0" w:color="auto"/>
      </w:divBdr>
    </w:div>
    <w:div w:id="954944251">
      <w:bodyDiv w:val="1"/>
      <w:marLeft w:val="0"/>
      <w:marRight w:val="0"/>
      <w:marTop w:val="0"/>
      <w:marBottom w:val="0"/>
      <w:divBdr>
        <w:top w:val="none" w:sz="0" w:space="0" w:color="auto"/>
        <w:left w:val="none" w:sz="0" w:space="0" w:color="auto"/>
        <w:bottom w:val="none" w:sz="0" w:space="0" w:color="auto"/>
        <w:right w:val="none" w:sz="0" w:space="0" w:color="auto"/>
      </w:divBdr>
    </w:div>
    <w:div w:id="989866760">
      <w:bodyDiv w:val="1"/>
      <w:marLeft w:val="0"/>
      <w:marRight w:val="0"/>
      <w:marTop w:val="0"/>
      <w:marBottom w:val="0"/>
      <w:divBdr>
        <w:top w:val="none" w:sz="0" w:space="0" w:color="auto"/>
        <w:left w:val="none" w:sz="0" w:space="0" w:color="auto"/>
        <w:bottom w:val="none" w:sz="0" w:space="0" w:color="auto"/>
        <w:right w:val="none" w:sz="0" w:space="0" w:color="auto"/>
      </w:divBdr>
    </w:div>
    <w:div w:id="1079867840">
      <w:bodyDiv w:val="1"/>
      <w:marLeft w:val="0"/>
      <w:marRight w:val="0"/>
      <w:marTop w:val="0"/>
      <w:marBottom w:val="0"/>
      <w:divBdr>
        <w:top w:val="none" w:sz="0" w:space="0" w:color="auto"/>
        <w:left w:val="none" w:sz="0" w:space="0" w:color="auto"/>
        <w:bottom w:val="none" w:sz="0" w:space="0" w:color="auto"/>
        <w:right w:val="none" w:sz="0" w:space="0" w:color="auto"/>
      </w:divBdr>
    </w:div>
    <w:div w:id="197043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9B521-D6F5-465B-AC51-6EBE558AC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4</Pages>
  <Words>1969</Words>
  <Characters>11224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Bedard</dc:creator>
  <cp:keywords/>
  <dc:description/>
  <cp:lastModifiedBy>Michaela Vaclavinek</cp:lastModifiedBy>
  <cp:revision>5</cp:revision>
  <dcterms:created xsi:type="dcterms:W3CDTF">2026-06-07T18:19:00Z</dcterms:created>
  <dcterms:modified xsi:type="dcterms:W3CDTF">2026-06-11T12:43:00Z</dcterms:modified>
</cp:coreProperties>
</file>